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305001</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Timing requirements for UL multi-DCI multi-TRP with two TAs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5.30.3.2</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RAN4 104 meeting, one LS[1] from RAN1 for this WID was received.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before="100" w:beforeAutospacing="1" w:after="100" w:afterAutospacing="1"/>
              <w:rPr>
                <w:rStyle w:val="19"/>
                <w:rFonts w:cs="Arial"/>
                <w:sz w:val="20"/>
                <w:szCs w:val="20"/>
              </w:rPr>
            </w:pPr>
            <w:r>
              <w:rPr>
                <w:rStyle w:val="19"/>
                <w:rFonts w:cs="Arial"/>
                <w:sz w:val="20"/>
                <w:szCs w:val="20"/>
                <w:u w:val="single"/>
              </w:rPr>
              <w:t>Conclusion</w:t>
            </w:r>
            <w:r>
              <w:rPr>
                <w:rStyle w:val="19"/>
                <w:rFonts w:cs="Arial"/>
                <w:sz w:val="20"/>
                <w:szCs w:val="20"/>
              </w:rPr>
              <w:t>: For multi-DCI multi-TRP operation with two TAs, the decision on the maximum uplink timing difference is left up to RAN4.</w:t>
            </w:r>
          </w:p>
          <w:p>
            <w:pPr>
              <w:numPr>
                <w:ilvl w:val="0"/>
                <w:numId w:val="4"/>
              </w:numPr>
              <w:spacing w:before="100" w:beforeAutospacing="1" w:after="100" w:afterAutospacing="1"/>
              <w:ind w:left="840" w:leftChars="0" w:hanging="420" w:firstLineChars="0"/>
              <w:rPr>
                <w:rFonts w:cs="Arial"/>
                <w:sz w:val="20"/>
                <w:szCs w:val="20"/>
              </w:rPr>
            </w:pPr>
            <w:r>
              <w:rPr>
                <w:rStyle w:val="19"/>
                <w:rFonts w:cs="Arial"/>
                <w:sz w:val="20"/>
                <w:szCs w:val="20"/>
              </w:rPr>
              <w:t>send an LS to RAN4 asking them</w:t>
            </w:r>
            <w:r>
              <w:rPr>
                <w:rStyle w:val="58"/>
                <w:rFonts w:cs="Arial"/>
                <w:b/>
                <w:bCs/>
                <w:sz w:val="20"/>
                <w:szCs w:val="20"/>
              </w:rPr>
              <w:t> </w:t>
            </w:r>
            <w:r>
              <w:rPr>
                <w:rStyle w:val="19"/>
                <w:rFonts w:cs="Arial"/>
                <w:sz w:val="20"/>
                <w:szCs w:val="20"/>
              </w:rPr>
              <w:t>the maximum uplink timing difference RAN1 can assume between the two TAs for multi-DCI multi-TRP operation.</w:t>
            </w:r>
          </w:p>
          <w:p>
            <w:pPr>
              <w:pStyle w:val="4"/>
              <w:rPr>
                <w:rFonts w:hint="default" w:eastAsia="宋体"/>
                <w:color w:val="auto"/>
                <w:sz w:val="20"/>
                <w:szCs w:val="20"/>
                <w:vertAlign w:val="baseline"/>
                <w:lang w:val="en-US" w:eastAsia="zh-CN"/>
              </w:rPr>
            </w:pPr>
            <w:r>
              <w:rPr>
                <w:rFonts w:hint="eastAsia" w:eastAsia="宋体"/>
                <w:color w:val="auto"/>
                <w:sz w:val="20"/>
                <w:szCs w:val="20"/>
                <w:lang w:val="en-US" w:eastAsia="zh-CN"/>
              </w:rPr>
              <w:t>RAN1 would kindly like to ask RAN4 to provide feedback on what maximum uplink timing difference that RAN1 can assume between the two TAs for multi-DCI multi-TRP operation.</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RAN4 has discussed the related issues for several meetings, some consensus were achieved while still some related issues are suspending. From last meeting, the discussion around these issues was held in this WID.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autoSpaceDE/>
              <w:autoSpaceDN/>
              <w:adjustRightInd/>
              <w:spacing w:after="120"/>
              <w:textAlignment w:val="auto"/>
              <w:rPr>
                <w:b/>
                <w:lang w:eastAsia="zh-CN"/>
              </w:rPr>
            </w:pPr>
            <w:r>
              <w:rPr>
                <w:b/>
                <w:highlight w:val="green"/>
                <w:lang w:eastAsia="zh-CN"/>
              </w:rPr>
              <w:t>Agreement</w:t>
            </w:r>
            <w:r>
              <w:rPr>
                <w:b/>
                <w:lang w:eastAsia="zh-CN"/>
              </w:rPr>
              <w:t xml:space="preserve">: </w:t>
            </w:r>
          </w:p>
          <w:p>
            <w:pPr>
              <w:widowControl w:val="0"/>
              <w:numPr>
                <w:ilvl w:val="0"/>
                <w:numId w:val="0"/>
              </w:numPr>
              <w:overflowPunct/>
              <w:autoSpaceDE/>
              <w:autoSpaceDN/>
              <w:adjustRightInd/>
              <w:spacing w:after="0"/>
              <w:jc w:val="both"/>
              <w:textAlignment w:val="auto"/>
              <w:rPr>
                <w:rFonts w:eastAsia="宋体"/>
                <w:szCs w:val="24"/>
                <w:lang w:eastAsia="zh-CN"/>
              </w:rPr>
            </w:pPr>
            <w:r>
              <w:rPr>
                <w:rFonts w:eastAsia="宋体"/>
                <w:szCs w:val="24"/>
                <w:lang w:eastAsia="zh-CN"/>
              </w:rPr>
              <w:t>Specify new MTTD/MRTD requirements for multi-DCI multi-TRP operation with 2 TAs, capture all the agreements related.</w:t>
            </w:r>
          </w:p>
          <w:p>
            <w:pPr>
              <w:widowControl w:val="0"/>
              <w:numPr>
                <w:ilvl w:val="0"/>
                <w:numId w:val="0"/>
              </w:numPr>
              <w:overflowPunct/>
              <w:autoSpaceDE/>
              <w:autoSpaceDN/>
              <w:adjustRightInd/>
              <w:spacing w:after="0"/>
              <w:jc w:val="both"/>
              <w:textAlignment w:val="auto"/>
              <w:rPr>
                <w:rFonts w:eastAsia="宋体"/>
                <w:szCs w:val="24"/>
                <w:lang w:eastAsia="zh-CN"/>
              </w:rPr>
            </w:pPr>
          </w:p>
          <w:p>
            <w:pPr>
              <w:overflowPunct/>
              <w:autoSpaceDE/>
              <w:autoSpaceDN/>
              <w:adjustRightInd/>
              <w:spacing w:after="120"/>
              <w:textAlignment w:val="auto"/>
              <w:rPr>
                <w:i/>
                <w:lang w:eastAsia="zh-CN"/>
              </w:rPr>
            </w:pPr>
            <w:r>
              <w:rPr>
                <w:b/>
                <w:highlight w:val="green"/>
                <w:lang w:eastAsia="zh-CN"/>
              </w:rPr>
              <w:t>Agreement</w:t>
            </w:r>
            <w:r>
              <w:rPr>
                <w:b/>
                <w:lang w:eastAsia="zh-CN"/>
              </w:rPr>
              <w:t xml:space="preserve">: </w:t>
            </w:r>
          </w:p>
          <w:p>
            <w:pPr>
              <w:widowControl w:val="0"/>
              <w:numPr>
                <w:ilvl w:val="0"/>
                <w:numId w:val="0"/>
              </w:numPr>
              <w:overflowPunct/>
              <w:autoSpaceDE/>
              <w:autoSpaceDN/>
              <w:adjustRightInd/>
              <w:spacing w:after="0"/>
              <w:jc w:val="both"/>
              <w:textAlignment w:val="auto"/>
              <w:rPr>
                <w:rFonts w:hint="default" w:eastAsia="宋体"/>
                <w:szCs w:val="24"/>
                <w:lang w:val="en-US" w:eastAsia="zh-CN"/>
              </w:rPr>
            </w:pPr>
            <w:r>
              <w:rPr>
                <w:rFonts w:eastAsia="宋体"/>
                <w:szCs w:val="24"/>
                <w:lang w:eastAsia="zh-CN"/>
              </w:rPr>
              <w:t>For UE not supporting RTD&gt;CP MRTD = CP</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will provide some further views on the remaining timing related issues for UL multi-DCI multi-TRP with two TAs.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numPr>
          <w:ilvl w:val="0"/>
          <w:numId w:val="0"/>
        </w:numPr>
        <w:jc w:val="both"/>
        <w:rPr>
          <w:rFonts w:hint="default" w:eastAsia="宋体"/>
          <w:b/>
          <w:bCs/>
          <w:i w:val="0"/>
          <w:iCs w:val="0"/>
          <w:color w:val="auto"/>
          <w:sz w:val="20"/>
          <w:szCs w:val="20"/>
          <w:highlight w:val="none"/>
          <w:u w:val="single"/>
          <w:lang w:val="en-US" w:eastAsia="zh-CN"/>
        </w:rPr>
      </w:pPr>
      <w:r>
        <w:rPr>
          <w:rFonts w:hint="eastAsia" w:eastAsia="宋体"/>
          <w:b/>
          <w:bCs/>
          <w:i w:val="0"/>
          <w:iCs w:val="0"/>
          <w:color w:val="auto"/>
          <w:sz w:val="20"/>
          <w:szCs w:val="20"/>
          <w:highlight w:val="none"/>
          <w:u w:val="single"/>
          <w:lang w:val="en-US" w:eastAsia="zh-CN"/>
        </w:rPr>
        <w:t>MTTD</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the MTTD for multi-DCI multi-TRP operation with 2 TAs, until right now, the following agreements were achieved: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0000"/>
                <w:lang w:eastAsia="ko-KR"/>
              </w:rPr>
            </w:pPr>
            <w:r>
              <w:rPr>
                <w:b/>
                <w:color w:val="000000"/>
                <w:highlight w:val="green"/>
                <w:lang w:eastAsia="ko-KR"/>
              </w:rPr>
              <w:t>Agreements</w:t>
            </w:r>
            <w:r>
              <w:rPr>
                <w:b/>
                <w:color w:val="000000"/>
                <w:lang w:eastAsia="ko-KR"/>
              </w:rPr>
              <w:t>:</w:t>
            </w:r>
          </w:p>
          <w:p>
            <w:pPr>
              <w:pStyle w:val="29"/>
              <w:numPr>
                <w:ilvl w:val="0"/>
                <w:numId w:val="5"/>
              </w:numPr>
              <w:spacing w:after="120"/>
              <w:ind w:firstLineChars="0"/>
              <w:rPr>
                <w:color w:val="000000"/>
                <w:szCs w:val="24"/>
                <w:lang w:eastAsia="zh-CN"/>
              </w:rPr>
            </w:pPr>
            <w:bookmarkStart w:id="0" w:name="_Hlk116659454"/>
            <w:r>
              <w:rPr>
                <w:color w:val="000000"/>
                <w:szCs w:val="24"/>
                <w:lang w:eastAsia="zh-CN"/>
              </w:rPr>
              <w:t>For both intra-cell and inter-cell multi-TRP, the MRTD between multiple TRPs can be assumed within a CP length as baseline. MTTD can be CP+M1 µs for FR1. Where M1 is FFS.</w:t>
            </w:r>
            <w:r>
              <w:rPr>
                <w:rFonts w:hint="eastAsia"/>
                <w:color w:val="000000"/>
                <w:szCs w:val="24"/>
                <w:lang w:val="en-US" w:eastAsia="zh-CN"/>
              </w:rPr>
              <w:t xml:space="preserve"> </w:t>
            </w:r>
          </w:p>
          <w:p>
            <w:pPr>
              <w:pStyle w:val="29"/>
              <w:numPr>
                <w:ilvl w:val="1"/>
                <w:numId w:val="5"/>
              </w:numPr>
              <w:spacing w:after="120"/>
              <w:ind w:firstLineChars="0"/>
              <w:rPr>
                <w:color w:val="000000"/>
                <w:szCs w:val="24"/>
                <w:lang w:eastAsia="zh-CN"/>
              </w:rPr>
            </w:pPr>
            <w:r>
              <w:rPr>
                <w:color w:val="000000"/>
                <w:szCs w:val="24"/>
                <w:lang w:eastAsia="zh-CN"/>
              </w:rPr>
              <w:t>FFS whether transient period between 2 UL signals associated with 2 different TAs needs to be considered</w:t>
            </w:r>
          </w:p>
          <w:p>
            <w:pPr>
              <w:pStyle w:val="29"/>
              <w:numPr>
                <w:ilvl w:val="0"/>
                <w:numId w:val="5"/>
              </w:numPr>
              <w:spacing w:after="120"/>
              <w:ind w:firstLineChars="0"/>
              <w:rPr>
                <w:rFonts w:hint="default" w:eastAsia="宋体"/>
                <w:color w:val="auto"/>
                <w:sz w:val="20"/>
                <w:szCs w:val="20"/>
                <w:highlight w:val="none"/>
                <w:vertAlign w:val="baseline"/>
                <w:lang w:val="en-US" w:eastAsia="zh-CN"/>
              </w:rPr>
            </w:pPr>
            <w:r>
              <w:rPr>
                <w:rFonts w:ascii="Calibri" w:hAnsi="Calibri" w:eastAsia="宋体" w:cs="Times New Roman"/>
                <w:color w:val="000000"/>
                <w:kern w:val="2"/>
                <w:sz w:val="21"/>
                <w:szCs w:val="24"/>
                <w:lang w:val="en-US" w:eastAsia="zh-CN" w:bidi="ar-SA"/>
              </w:rPr>
              <w:t>For a UE capable of supporting RTD&gt;CP (as an optional UE capability), MRTD/MTTD value is 33/34.6 µs.</w:t>
            </w:r>
            <w:bookmarkEnd w:id="0"/>
            <w:r>
              <w:rPr>
                <w:rFonts w:hint="eastAsia" w:ascii="Calibri" w:hAnsi="Calibri" w:eastAsia="宋体" w:cs="Times New Roman"/>
                <w:color w:val="000000"/>
                <w:kern w:val="2"/>
                <w:sz w:val="21"/>
                <w:szCs w:val="24"/>
                <w:lang w:val="en-US" w:eastAsia="zh-CN" w:bidi="ar-SA"/>
              </w:rPr>
              <w:t xml:space="preserve"> </w:t>
            </w:r>
          </w:p>
          <w:p>
            <w:pPr>
              <w:rPr>
                <w:b/>
                <w:color w:val="000000"/>
                <w:lang w:eastAsia="ko-KR"/>
              </w:rPr>
            </w:pPr>
            <w:r>
              <w:rPr>
                <w:b/>
                <w:color w:val="000000"/>
                <w:highlight w:val="green"/>
                <w:lang w:eastAsia="ko-KR"/>
              </w:rPr>
              <w:t>Agreements</w:t>
            </w:r>
            <w:r>
              <w:rPr>
                <w:b/>
                <w:color w:val="000000"/>
                <w:lang w:eastAsia="ko-KR"/>
              </w:rPr>
              <w:t>:</w:t>
            </w:r>
          </w:p>
          <w:p>
            <w:pPr>
              <w:pStyle w:val="29"/>
              <w:numPr>
                <w:ilvl w:val="0"/>
                <w:numId w:val="5"/>
              </w:numPr>
              <w:spacing w:after="120"/>
              <w:ind w:firstLineChars="0"/>
              <w:rPr>
                <w:color w:val="000000"/>
                <w:szCs w:val="24"/>
                <w:lang w:eastAsia="zh-CN"/>
              </w:rPr>
            </w:pPr>
            <w:bookmarkStart w:id="1" w:name="_Hlk116659477"/>
            <w:r>
              <w:rPr>
                <w:color w:val="000000"/>
                <w:szCs w:val="24"/>
                <w:lang w:eastAsia="zh-CN"/>
              </w:rPr>
              <w:t>For both intra-cell and inter-cell multi-TRP, the MRTD between multiple TRPs can be assumed within a CP length as baseline. MTTD can be CP + M2 µs for FR2. Where M2 is FFS.</w:t>
            </w:r>
            <w:r>
              <w:rPr>
                <w:rFonts w:hint="eastAsia"/>
                <w:color w:val="000000"/>
                <w:szCs w:val="24"/>
                <w:lang w:val="en-US" w:eastAsia="zh-CN"/>
              </w:rPr>
              <w:t xml:space="preserve"> </w:t>
            </w:r>
          </w:p>
          <w:p>
            <w:pPr>
              <w:pStyle w:val="29"/>
              <w:numPr>
                <w:ilvl w:val="1"/>
                <w:numId w:val="5"/>
              </w:numPr>
              <w:spacing w:after="120"/>
              <w:ind w:firstLineChars="0"/>
              <w:rPr>
                <w:rFonts w:hint="default" w:eastAsia="宋体"/>
                <w:color w:val="auto"/>
                <w:sz w:val="20"/>
                <w:szCs w:val="20"/>
                <w:highlight w:val="none"/>
                <w:vertAlign w:val="baseline"/>
                <w:lang w:val="en-US" w:eastAsia="zh-CN"/>
              </w:rPr>
            </w:pPr>
            <w:r>
              <w:rPr>
                <w:color w:val="000000"/>
                <w:szCs w:val="24"/>
                <w:lang w:eastAsia="zh-CN"/>
              </w:rPr>
              <w:t>FFS whether transient period between 2 UL signals associated with 2 different TAs needs to be considered</w:t>
            </w:r>
          </w:p>
          <w:p>
            <w:pPr>
              <w:pStyle w:val="29"/>
              <w:numPr>
                <w:ilvl w:val="1"/>
                <w:numId w:val="5"/>
              </w:numPr>
              <w:spacing w:after="120"/>
              <w:ind w:firstLineChars="0"/>
              <w:rPr>
                <w:rFonts w:hint="default" w:eastAsia="宋体"/>
                <w:color w:val="auto"/>
                <w:sz w:val="20"/>
                <w:szCs w:val="20"/>
                <w:highlight w:val="none"/>
                <w:vertAlign w:val="baseline"/>
                <w:lang w:val="en-US" w:eastAsia="zh-CN"/>
              </w:rPr>
            </w:pPr>
            <w:r>
              <w:rPr>
                <w:color w:val="000000"/>
                <w:szCs w:val="24"/>
                <w:lang w:eastAsia="zh-CN"/>
              </w:rPr>
              <w:t>For a UE capable of supporting RTD&gt;CP (as an optional UE capability), MRTD/MTTD value is 8/8.5 µs.</w:t>
            </w:r>
            <w:bookmarkEnd w:id="1"/>
            <w:r>
              <w:rPr>
                <w:rFonts w:hint="eastAsia"/>
                <w:color w:val="000000"/>
                <w:szCs w:val="24"/>
                <w:lang w:val="en-US" w:eastAsia="zh-CN"/>
              </w:rPr>
              <w:t xml:space="preserve"> </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it can be concluded that for the MTTD requirements, two categories can be identified:</w:t>
      </w:r>
    </w:p>
    <w:p>
      <w:pPr>
        <w:numPr>
          <w:ilvl w:val="0"/>
          <w:numId w:val="6"/>
        </w:numPr>
        <w:ind w:left="420" w:leftChars="0" w:hanging="420" w:firstLineChars="0"/>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For UE not supporting RTD&gt;CP, MTTD can be CP+M1 µs for FR1. MTTD can be CP + M2 µs for FR2. </w:t>
      </w:r>
    </w:p>
    <w:p>
      <w:pPr>
        <w:numPr>
          <w:ilvl w:val="0"/>
          <w:numId w:val="7"/>
        </w:numPr>
        <w:tabs>
          <w:tab w:val="clear" w:pos="-420"/>
        </w:tabs>
        <w:ind w:left="-420" w:leftChars="0" w:firstLine="840" w:firstLineChars="0"/>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FFS for M1, M2.</w:t>
      </w:r>
    </w:p>
    <w:p>
      <w:pPr>
        <w:numPr>
          <w:ilvl w:val="0"/>
          <w:numId w:val="8"/>
        </w:numPr>
        <w:ind w:left="420" w:leftChars="0" w:hanging="420" w:firstLineChars="0"/>
        <w:rPr>
          <w:rFonts w:hint="default"/>
          <w:lang w:val="en-US" w:eastAsia="zh-CN"/>
        </w:rPr>
      </w:pPr>
      <w:r>
        <w:rPr>
          <w:rFonts w:hint="eastAsia" w:eastAsia="宋体"/>
          <w:szCs w:val="24"/>
          <w:lang w:val="en-US" w:eastAsia="zh-CN"/>
        </w:rPr>
        <w:t xml:space="preserve">For UE supporting RTD&gt;CP </w:t>
      </w:r>
    </w:p>
    <w:p>
      <w:pPr>
        <w:numPr>
          <w:ilvl w:val="0"/>
          <w:numId w:val="9"/>
        </w:numPr>
        <w:ind w:left="840" w:leftChars="0" w:hanging="420" w:firstLineChars="0"/>
        <w:rPr>
          <w:rFonts w:hint="default"/>
          <w:lang w:val="en-US" w:eastAsia="zh-CN"/>
        </w:rPr>
      </w:pPr>
      <w:r>
        <w:rPr>
          <w:rFonts w:hint="eastAsia" w:eastAsia="宋体"/>
          <w:szCs w:val="24"/>
          <w:lang w:val="en-US" w:eastAsia="zh-CN"/>
        </w:rPr>
        <w:t xml:space="preserve">MTTD is 34.6 </w:t>
      </w:r>
      <w:r>
        <w:rPr>
          <w:color w:val="000000"/>
          <w:szCs w:val="24"/>
          <w:lang w:eastAsia="zh-CN"/>
        </w:rPr>
        <w:t>µs</w:t>
      </w:r>
      <w:r>
        <w:rPr>
          <w:rFonts w:hint="eastAsia"/>
          <w:color w:val="000000"/>
          <w:szCs w:val="24"/>
          <w:lang w:val="en-US" w:eastAsia="zh-CN"/>
        </w:rPr>
        <w:t xml:space="preserve"> for FR1, i.e. reuse the inter-band requirements.</w:t>
      </w:r>
    </w:p>
    <w:p>
      <w:pPr>
        <w:numPr>
          <w:ilvl w:val="0"/>
          <w:numId w:val="9"/>
        </w:numPr>
        <w:ind w:left="840" w:leftChars="0" w:hanging="420" w:firstLineChars="0"/>
        <w:rPr>
          <w:rFonts w:hint="default"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MTTD is 8.5 µs for FR2, i.e. reuse the inter-band requirements.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remaining is to identify the value of M1, M2. Based on the discussion in last meeting, the following options were suggested:</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9"/>
              <w:numPr>
                <w:ilvl w:val="0"/>
                <w:numId w:val="5"/>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Option 1: M1=M2=0 (Apple, MediaTek</w:t>
            </w:r>
            <w:r>
              <w:rPr>
                <w:rFonts w:hint="eastAsia" w:eastAsia="宋体"/>
                <w:szCs w:val="24"/>
                <w:lang w:eastAsia="zh-CN"/>
              </w:rPr>
              <w:t>,</w:t>
            </w:r>
            <w:r>
              <w:rPr>
                <w:rFonts w:eastAsia="宋体"/>
                <w:szCs w:val="24"/>
                <w:lang w:eastAsia="zh-CN"/>
              </w:rPr>
              <w:t xml:space="preserve"> vivo)</w:t>
            </w:r>
          </w:p>
          <w:p>
            <w:pPr>
              <w:pStyle w:val="29"/>
              <w:numPr>
                <w:ilvl w:val="1"/>
                <w:numId w:val="5"/>
              </w:numPr>
              <w:overflowPunct/>
              <w:autoSpaceDE/>
              <w:autoSpaceDN/>
              <w:adjustRightInd/>
              <w:spacing w:after="120"/>
              <w:ind w:left="1236" w:leftChars="0" w:hanging="360" w:firstLineChars="0"/>
              <w:textAlignment w:val="auto"/>
              <w:rPr>
                <w:rFonts w:eastAsia="宋体"/>
                <w:szCs w:val="24"/>
                <w:lang w:eastAsia="zh-CN"/>
              </w:rPr>
            </w:pPr>
            <w:r>
              <w:rPr>
                <w:rFonts w:eastAsia="宋体"/>
                <w:szCs w:val="24"/>
                <w:lang w:eastAsia="zh-CN"/>
              </w:rPr>
              <w:t xml:space="preserve">Option 1a: </w:t>
            </w:r>
            <w:r>
              <w:t xml:space="preserve">in both FR1 and FR2, </w:t>
            </w:r>
            <w:r>
              <w:rPr>
                <w:u w:val="single"/>
              </w:rPr>
              <w:t>for both intra-cell and inter-cell multi-TRP</w:t>
            </w:r>
            <w:r>
              <w:t>, the MTTD between multiple TRPs can be assumed within a CP length as baseline. (Apple)</w:t>
            </w:r>
          </w:p>
          <w:p>
            <w:pPr>
              <w:pStyle w:val="29"/>
              <w:numPr>
                <w:ilvl w:val="0"/>
                <w:numId w:val="5"/>
              </w:numPr>
              <w:overflowPunct/>
              <w:autoSpaceDE/>
              <w:autoSpaceDN/>
              <w:adjustRightInd/>
              <w:spacing w:after="120"/>
              <w:ind w:left="1020" w:leftChars="0" w:firstLineChars="0"/>
              <w:textAlignment w:val="auto"/>
              <w:rPr>
                <w:rFonts w:hint="eastAsia"/>
                <w:vertAlign w:val="baseline"/>
                <w:lang w:val="en-US" w:eastAsia="zh-CN"/>
              </w:rPr>
            </w:pPr>
            <w:r>
              <w:rPr>
                <w:rFonts w:eastAsia="宋体"/>
                <w:szCs w:val="24"/>
                <w:lang w:eastAsia="zh-CN"/>
              </w:rPr>
              <w:t xml:space="preserve">Option 2: </w:t>
            </w:r>
            <w:r>
              <w:rPr>
                <w:rFonts w:eastAsia="宋体"/>
              </w:rPr>
              <w:t>The MTTD between multiple TRPs can be defined as (CP + 1.6µs) for FR1 and (CP + 0.5µs) for FR2, e.g. M1=1.6us and M2=0.5 us. (Nokia, Xiaomi, Samsung, Huawei, Ericsson, Qualcomm)</w:t>
            </w:r>
          </w:p>
        </w:tc>
      </w:tr>
    </w:tbl>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Based on RAN4 understanding, MTTD is mainly defined by MRTD and UE transmission timing margin. For the case of multi-DCI multi-TRP, all TRPs operate at the same bandwidth, share the same frequency and same SCS. Regarding to the UE transmission timing margin, based on common understanding, three components were included, i.e. Te, TA adjustment accuracy and TA resolution error. We can estimate the value of the three components.</w:t>
      </w:r>
    </w:p>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Te, it is specified in Table 7.1.2-1 of [3] as follows:</w:t>
      </w:r>
    </w:p>
    <w:p>
      <w:pPr>
        <w:pStyle w:val="37"/>
      </w:pPr>
      <w:r>
        <w:t>Table 7.1.2-1: T</w:t>
      </w:r>
      <w:r>
        <w:rPr>
          <w:vertAlign w:val="subscript"/>
        </w:rPr>
        <w:t>e</w:t>
      </w:r>
      <w:r>
        <w:t xml:space="preserve"> Timing Error Limit</w:t>
      </w:r>
    </w:p>
    <w:tbl>
      <w:tblPr>
        <w:tblStyle w:val="16"/>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1"/>
        <w:gridCol w:w="1506"/>
        <w:gridCol w:w="1507"/>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single" w:color="auto" w:sz="4" w:space="0"/>
              <w:right w:val="single" w:color="auto" w:sz="4" w:space="0"/>
            </w:tcBorders>
            <w:vAlign w:val="center"/>
          </w:tcPr>
          <w:p>
            <w:pPr>
              <w:pStyle w:val="34"/>
            </w:pPr>
            <w:r>
              <w:t>Frequency Range</w:t>
            </w:r>
          </w:p>
        </w:tc>
        <w:tc>
          <w:tcPr>
            <w:tcW w:w="1244" w:type="pct"/>
            <w:tcBorders>
              <w:top w:val="single" w:color="auto" w:sz="4" w:space="0"/>
              <w:left w:val="single" w:color="auto" w:sz="4" w:space="0"/>
              <w:bottom w:val="single" w:color="auto" w:sz="4" w:space="0"/>
              <w:right w:val="single" w:color="auto" w:sz="4" w:space="0"/>
            </w:tcBorders>
            <w:vAlign w:val="center"/>
          </w:tcPr>
          <w:p>
            <w:pPr>
              <w:pStyle w:val="34"/>
            </w:pPr>
            <w:r>
              <w:t>SCS of SSB signals (kHz)</w:t>
            </w:r>
          </w:p>
        </w:tc>
        <w:tc>
          <w:tcPr>
            <w:tcW w:w="1245" w:type="pct"/>
            <w:tcBorders>
              <w:top w:val="single" w:color="auto" w:sz="4" w:space="0"/>
              <w:left w:val="single" w:color="auto" w:sz="4" w:space="0"/>
              <w:bottom w:val="single" w:color="auto" w:sz="4" w:space="0"/>
              <w:right w:val="single" w:color="auto" w:sz="4" w:space="0"/>
            </w:tcBorders>
            <w:vAlign w:val="center"/>
          </w:tcPr>
          <w:p>
            <w:pPr>
              <w:pStyle w:val="34"/>
            </w:pPr>
            <w:r>
              <w:t>SCS of uplink signals (kHz)</w:t>
            </w:r>
          </w:p>
        </w:tc>
        <w:tc>
          <w:tcPr>
            <w:tcW w:w="1478" w:type="pct"/>
            <w:tcBorders>
              <w:top w:val="single" w:color="auto" w:sz="4" w:space="0"/>
              <w:left w:val="single" w:color="auto" w:sz="4" w:space="0"/>
              <w:bottom w:val="single" w:color="auto" w:sz="4" w:space="0"/>
              <w:right w:val="single" w:color="auto" w:sz="4" w:space="0"/>
            </w:tcBorders>
            <w:vAlign w:val="center"/>
          </w:tcPr>
          <w:p>
            <w:pPr>
              <w:pStyle w:val="34"/>
            </w:pPr>
            <w:r>
              <w:t>T</w:t>
            </w:r>
            <w:r>
              <w:rPr>
                <w:vertAlign w:val="subscript"/>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nil"/>
              <w:right w:val="single" w:color="auto" w:sz="4" w:space="0"/>
            </w:tcBorders>
            <w:vAlign w:val="center"/>
          </w:tcPr>
          <w:p>
            <w:pPr>
              <w:pStyle w:val="35"/>
            </w:pPr>
            <w:r>
              <w:t>1</w:t>
            </w:r>
          </w:p>
        </w:tc>
        <w:tc>
          <w:tcPr>
            <w:tcW w:w="1244" w:type="pct"/>
            <w:tcBorders>
              <w:top w:val="single" w:color="auto" w:sz="4" w:space="0"/>
              <w:left w:val="single" w:color="auto" w:sz="4" w:space="0"/>
              <w:bottom w:val="nil"/>
              <w:right w:val="single" w:color="auto" w:sz="4" w:space="0"/>
            </w:tcBorders>
            <w:vAlign w:val="center"/>
          </w:tcPr>
          <w:p>
            <w:pPr>
              <w:pStyle w:val="35"/>
            </w:pPr>
            <w:r>
              <w:t>15</w:t>
            </w:r>
          </w:p>
        </w:tc>
        <w:tc>
          <w:tcPr>
            <w:tcW w:w="1245" w:type="pct"/>
            <w:tcBorders>
              <w:top w:val="single" w:color="auto" w:sz="4" w:space="0"/>
              <w:left w:val="single" w:color="auto" w:sz="4" w:space="0"/>
              <w:bottom w:val="single" w:color="auto" w:sz="4" w:space="0"/>
              <w:right w:val="single" w:color="auto" w:sz="4" w:space="0"/>
            </w:tcBorders>
          </w:tcPr>
          <w:p>
            <w:pPr>
              <w:pStyle w:val="35"/>
            </w:pPr>
            <w:r>
              <w:t>15</w:t>
            </w:r>
          </w:p>
        </w:tc>
        <w:tc>
          <w:tcPr>
            <w:tcW w:w="1478" w:type="pct"/>
            <w:tcBorders>
              <w:top w:val="single" w:color="auto" w:sz="4" w:space="0"/>
              <w:left w:val="single" w:color="auto" w:sz="4" w:space="0"/>
              <w:bottom w:val="single" w:color="auto" w:sz="4" w:space="0"/>
              <w:right w:val="single" w:color="auto" w:sz="4" w:space="0"/>
            </w:tcBorders>
          </w:tcPr>
          <w:p>
            <w:pPr>
              <w:pStyle w:val="35"/>
            </w:pPr>
            <w:r>
              <w:t>12*64*T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35"/>
            </w:pPr>
          </w:p>
        </w:tc>
        <w:tc>
          <w:tcPr>
            <w:tcW w:w="1244" w:type="pct"/>
            <w:tcBorders>
              <w:top w:val="nil"/>
              <w:left w:val="single" w:color="auto" w:sz="4" w:space="0"/>
              <w:bottom w:val="nil"/>
              <w:right w:val="single" w:color="auto" w:sz="4" w:space="0"/>
            </w:tcBorders>
            <w:vAlign w:val="center"/>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30</w:t>
            </w:r>
          </w:p>
        </w:tc>
        <w:tc>
          <w:tcPr>
            <w:tcW w:w="1478" w:type="pct"/>
            <w:tcBorders>
              <w:top w:val="single" w:color="auto" w:sz="4" w:space="0"/>
              <w:left w:val="single" w:color="auto" w:sz="4" w:space="0"/>
              <w:bottom w:val="single" w:color="auto" w:sz="4" w:space="0"/>
              <w:right w:val="single" w:color="auto" w:sz="4" w:space="0"/>
            </w:tcBorders>
          </w:tcPr>
          <w:p>
            <w:pPr>
              <w:pStyle w:val="35"/>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35"/>
            </w:pPr>
          </w:p>
        </w:tc>
        <w:tc>
          <w:tcPr>
            <w:tcW w:w="1244" w:type="pct"/>
            <w:tcBorders>
              <w:top w:val="nil"/>
              <w:left w:val="single" w:color="auto" w:sz="4" w:space="0"/>
              <w:bottom w:val="single" w:color="auto" w:sz="4" w:space="0"/>
              <w:right w:val="single" w:color="auto" w:sz="4" w:space="0"/>
            </w:tcBorders>
            <w:vAlign w:val="center"/>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60</w:t>
            </w:r>
          </w:p>
        </w:tc>
        <w:tc>
          <w:tcPr>
            <w:tcW w:w="1478" w:type="pct"/>
            <w:tcBorders>
              <w:top w:val="single" w:color="auto" w:sz="4" w:space="0"/>
              <w:left w:val="single" w:color="auto" w:sz="4" w:space="0"/>
              <w:bottom w:val="single" w:color="auto" w:sz="4" w:space="0"/>
              <w:right w:val="single" w:color="auto" w:sz="4" w:space="0"/>
            </w:tcBorders>
          </w:tcPr>
          <w:p>
            <w:pPr>
              <w:pStyle w:val="35"/>
            </w:pPr>
            <w:r>
              <w:t>10*64*T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35"/>
            </w:pPr>
          </w:p>
        </w:tc>
        <w:tc>
          <w:tcPr>
            <w:tcW w:w="1244" w:type="pct"/>
            <w:tcBorders>
              <w:top w:val="single" w:color="auto" w:sz="4" w:space="0"/>
              <w:left w:val="single" w:color="auto" w:sz="4" w:space="0"/>
              <w:bottom w:val="nil"/>
              <w:right w:val="single" w:color="auto" w:sz="4" w:space="0"/>
            </w:tcBorders>
            <w:vAlign w:val="center"/>
          </w:tcPr>
          <w:p>
            <w:pPr>
              <w:pStyle w:val="35"/>
            </w:pPr>
            <w:r>
              <w:t>30</w:t>
            </w:r>
          </w:p>
        </w:tc>
        <w:tc>
          <w:tcPr>
            <w:tcW w:w="1245" w:type="pct"/>
            <w:tcBorders>
              <w:top w:val="single" w:color="auto" w:sz="4" w:space="0"/>
              <w:left w:val="single" w:color="auto" w:sz="4" w:space="0"/>
              <w:bottom w:val="single" w:color="auto" w:sz="4" w:space="0"/>
              <w:right w:val="single" w:color="auto" w:sz="4" w:space="0"/>
            </w:tcBorders>
          </w:tcPr>
          <w:p>
            <w:pPr>
              <w:pStyle w:val="35"/>
            </w:pPr>
            <w:r>
              <w:t>15</w:t>
            </w:r>
          </w:p>
        </w:tc>
        <w:tc>
          <w:tcPr>
            <w:tcW w:w="1478" w:type="pct"/>
            <w:tcBorders>
              <w:top w:val="single" w:color="auto" w:sz="4" w:space="0"/>
              <w:left w:val="single" w:color="auto" w:sz="4" w:space="0"/>
              <w:bottom w:val="single" w:color="auto" w:sz="4" w:space="0"/>
              <w:right w:val="single" w:color="auto" w:sz="4" w:space="0"/>
            </w:tcBorders>
          </w:tcPr>
          <w:p>
            <w:pPr>
              <w:pStyle w:val="35"/>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35"/>
            </w:pPr>
          </w:p>
        </w:tc>
        <w:tc>
          <w:tcPr>
            <w:tcW w:w="1244" w:type="pct"/>
            <w:tcBorders>
              <w:top w:val="nil"/>
              <w:left w:val="single" w:color="auto" w:sz="4" w:space="0"/>
              <w:bottom w:val="nil"/>
              <w:right w:val="single" w:color="auto" w:sz="4" w:space="0"/>
            </w:tcBorders>
            <w:vAlign w:val="center"/>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30</w:t>
            </w:r>
          </w:p>
        </w:tc>
        <w:tc>
          <w:tcPr>
            <w:tcW w:w="1478" w:type="pct"/>
            <w:tcBorders>
              <w:top w:val="single" w:color="auto" w:sz="4" w:space="0"/>
              <w:left w:val="single" w:color="auto" w:sz="4" w:space="0"/>
              <w:bottom w:val="single" w:color="auto" w:sz="4" w:space="0"/>
              <w:right w:val="single" w:color="auto" w:sz="4" w:space="0"/>
            </w:tcBorders>
          </w:tcPr>
          <w:p>
            <w:pPr>
              <w:pStyle w:val="35"/>
            </w:pPr>
            <w:r>
              <w:t>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single" w:color="auto" w:sz="4" w:space="0"/>
              <w:right w:val="single" w:color="auto" w:sz="4" w:space="0"/>
            </w:tcBorders>
            <w:vAlign w:val="center"/>
          </w:tcPr>
          <w:p>
            <w:pPr>
              <w:pStyle w:val="35"/>
            </w:pPr>
          </w:p>
        </w:tc>
        <w:tc>
          <w:tcPr>
            <w:tcW w:w="1244" w:type="pct"/>
            <w:tcBorders>
              <w:top w:val="nil"/>
              <w:left w:val="single" w:color="auto" w:sz="4" w:space="0"/>
              <w:bottom w:val="single" w:color="auto" w:sz="4" w:space="0"/>
              <w:right w:val="single" w:color="auto" w:sz="4" w:space="0"/>
            </w:tcBorders>
            <w:vAlign w:val="center"/>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60</w:t>
            </w:r>
          </w:p>
        </w:tc>
        <w:tc>
          <w:tcPr>
            <w:tcW w:w="1478" w:type="pct"/>
            <w:tcBorders>
              <w:top w:val="single" w:color="auto" w:sz="4" w:space="0"/>
              <w:left w:val="single" w:color="auto" w:sz="4" w:space="0"/>
              <w:bottom w:val="single" w:color="auto" w:sz="4" w:space="0"/>
              <w:right w:val="single" w:color="auto" w:sz="4" w:space="0"/>
            </w:tcBorders>
          </w:tcPr>
          <w:p>
            <w:pPr>
              <w:pStyle w:val="35"/>
            </w:pPr>
            <w:r>
              <w:t>7*64*T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nil"/>
              <w:right w:val="single" w:color="auto" w:sz="4" w:space="0"/>
            </w:tcBorders>
            <w:vAlign w:val="center"/>
          </w:tcPr>
          <w:p>
            <w:pPr>
              <w:pStyle w:val="35"/>
            </w:pPr>
            <w:r>
              <w:t>2-1</w:t>
            </w:r>
          </w:p>
        </w:tc>
        <w:tc>
          <w:tcPr>
            <w:tcW w:w="1244" w:type="pct"/>
            <w:tcBorders>
              <w:top w:val="single" w:color="auto" w:sz="4" w:space="0"/>
              <w:left w:val="single" w:color="auto" w:sz="4" w:space="0"/>
              <w:bottom w:val="nil"/>
              <w:right w:val="single" w:color="auto" w:sz="4" w:space="0"/>
            </w:tcBorders>
            <w:vAlign w:val="center"/>
          </w:tcPr>
          <w:p>
            <w:pPr>
              <w:pStyle w:val="35"/>
            </w:pPr>
            <w:r>
              <w:t>120</w:t>
            </w:r>
          </w:p>
        </w:tc>
        <w:tc>
          <w:tcPr>
            <w:tcW w:w="1245" w:type="pct"/>
            <w:tcBorders>
              <w:top w:val="single" w:color="auto" w:sz="4" w:space="0"/>
              <w:left w:val="single" w:color="auto" w:sz="4" w:space="0"/>
              <w:bottom w:val="single" w:color="auto" w:sz="4" w:space="0"/>
              <w:right w:val="single" w:color="auto" w:sz="4" w:space="0"/>
            </w:tcBorders>
          </w:tcPr>
          <w:p>
            <w:pPr>
              <w:pStyle w:val="35"/>
            </w:pPr>
            <w:r>
              <w:t>60</w:t>
            </w:r>
          </w:p>
        </w:tc>
        <w:tc>
          <w:tcPr>
            <w:tcW w:w="1478" w:type="pct"/>
            <w:tcBorders>
              <w:top w:val="single" w:color="auto" w:sz="4" w:space="0"/>
              <w:left w:val="single" w:color="auto" w:sz="4" w:space="0"/>
              <w:bottom w:val="single" w:color="auto" w:sz="4" w:space="0"/>
              <w:right w:val="single" w:color="auto" w:sz="4" w:space="0"/>
            </w:tcBorders>
          </w:tcPr>
          <w:p>
            <w:pPr>
              <w:pStyle w:val="35"/>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35"/>
            </w:pPr>
          </w:p>
        </w:tc>
        <w:tc>
          <w:tcPr>
            <w:tcW w:w="1244" w:type="pct"/>
            <w:tcBorders>
              <w:top w:val="nil"/>
              <w:left w:val="single" w:color="auto" w:sz="4" w:space="0"/>
              <w:bottom w:val="single" w:color="auto" w:sz="4" w:space="0"/>
              <w:right w:val="single" w:color="auto" w:sz="4" w:space="0"/>
            </w:tcBorders>
            <w:vAlign w:val="center"/>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120</w:t>
            </w:r>
          </w:p>
        </w:tc>
        <w:tc>
          <w:tcPr>
            <w:tcW w:w="1478" w:type="pct"/>
            <w:tcBorders>
              <w:top w:val="single" w:color="auto" w:sz="4" w:space="0"/>
              <w:left w:val="single" w:color="auto" w:sz="4" w:space="0"/>
              <w:bottom w:val="single" w:color="auto" w:sz="4" w:space="0"/>
              <w:right w:val="single" w:color="auto" w:sz="4" w:space="0"/>
            </w:tcBorders>
          </w:tcPr>
          <w:p>
            <w:pPr>
              <w:pStyle w:val="35"/>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vAlign w:val="center"/>
          </w:tcPr>
          <w:p>
            <w:pPr>
              <w:pStyle w:val="35"/>
            </w:pPr>
          </w:p>
        </w:tc>
        <w:tc>
          <w:tcPr>
            <w:tcW w:w="1244" w:type="pct"/>
            <w:tcBorders>
              <w:top w:val="single" w:color="auto" w:sz="4" w:space="0"/>
              <w:left w:val="single" w:color="auto" w:sz="4" w:space="0"/>
              <w:bottom w:val="nil"/>
              <w:right w:val="single" w:color="auto" w:sz="4" w:space="0"/>
            </w:tcBorders>
            <w:vAlign w:val="center"/>
          </w:tcPr>
          <w:p>
            <w:pPr>
              <w:pStyle w:val="35"/>
            </w:pPr>
            <w:r>
              <w:t>240</w:t>
            </w:r>
          </w:p>
        </w:tc>
        <w:tc>
          <w:tcPr>
            <w:tcW w:w="1245" w:type="pct"/>
            <w:tcBorders>
              <w:top w:val="single" w:color="auto" w:sz="4" w:space="0"/>
              <w:left w:val="single" w:color="auto" w:sz="4" w:space="0"/>
              <w:bottom w:val="single" w:color="auto" w:sz="4" w:space="0"/>
              <w:right w:val="single" w:color="auto" w:sz="4" w:space="0"/>
            </w:tcBorders>
          </w:tcPr>
          <w:p>
            <w:pPr>
              <w:pStyle w:val="35"/>
            </w:pPr>
            <w:r>
              <w:t>60</w:t>
            </w:r>
          </w:p>
        </w:tc>
        <w:tc>
          <w:tcPr>
            <w:tcW w:w="1478" w:type="pct"/>
            <w:tcBorders>
              <w:top w:val="single" w:color="auto" w:sz="4" w:space="0"/>
              <w:left w:val="single" w:color="auto" w:sz="4" w:space="0"/>
              <w:bottom w:val="single" w:color="auto" w:sz="4" w:space="0"/>
              <w:right w:val="single" w:color="auto" w:sz="4" w:space="0"/>
            </w:tcBorders>
          </w:tcPr>
          <w:p>
            <w:pPr>
              <w:pStyle w:val="35"/>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single" w:color="auto" w:sz="4" w:space="0"/>
              <w:right w:val="single" w:color="auto" w:sz="4" w:space="0"/>
            </w:tcBorders>
          </w:tcPr>
          <w:p>
            <w:pPr>
              <w:pStyle w:val="35"/>
            </w:pPr>
          </w:p>
        </w:tc>
        <w:tc>
          <w:tcPr>
            <w:tcW w:w="1244" w:type="pct"/>
            <w:tcBorders>
              <w:top w:val="nil"/>
              <w:left w:val="single" w:color="auto" w:sz="4" w:space="0"/>
              <w:bottom w:val="single" w:color="auto" w:sz="4" w:space="0"/>
              <w:right w:val="single" w:color="auto" w:sz="4" w:space="0"/>
            </w:tcBorders>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120</w:t>
            </w:r>
          </w:p>
        </w:tc>
        <w:tc>
          <w:tcPr>
            <w:tcW w:w="1478" w:type="pct"/>
            <w:tcBorders>
              <w:top w:val="single" w:color="auto" w:sz="4" w:space="0"/>
              <w:left w:val="single" w:color="auto" w:sz="4" w:space="0"/>
              <w:bottom w:val="single" w:color="auto" w:sz="4" w:space="0"/>
              <w:right w:val="single" w:color="auto" w:sz="4" w:space="0"/>
            </w:tcBorders>
          </w:tcPr>
          <w:p>
            <w:pPr>
              <w:pStyle w:val="35"/>
            </w:pPr>
            <w:r>
              <w:t>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single" w:color="auto" w:sz="4" w:space="0"/>
              <w:left w:val="single" w:color="auto" w:sz="4" w:space="0"/>
              <w:bottom w:val="nil"/>
              <w:right w:val="single" w:color="auto" w:sz="4" w:space="0"/>
            </w:tcBorders>
          </w:tcPr>
          <w:p>
            <w:pPr>
              <w:pStyle w:val="35"/>
            </w:pPr>
            <w:r>
              <w:t>2-2</w:t>
            </w:r>
          </w:p>
        </w:tc>
        <w:tc>
          <w:tcPr>
            <w:tcW w:w="1244" w:type="pct"/>
            <w:tcBorders>
              <w:top w:val="single" w:color="auto" w:sz="4" w:space="0"/>
              <w:left w:val="single" w:color="auto" w:sz="4" w:space="0"/>
              <w:bottom w:val="nil"/>
              <w:right w:val="single" w:color="auto" w:sz="4" w:space="0"/>
            </w:tcBorders>
          </w:tcPr>
          <w:p>
            <w:pPr>
              <w:pStyle w:val="35"/>
            </w:pPr>
            <w:r>
              <w:t>120</w:t>
            </w:r>
          </w:p>
        </w:tc>
        <w:tc>
          <w:tcPr>
            <w:tcW w:w="1245" w:type="pct"/>
            <w:tcBorders>
              <w:top w:val="single" w:color="auto" w:sz="4" w:space="0"/>
              <w:left w:val="single" w:color="auto" w:sz="4" w:space="0"/>
              <w:bottom w:val="single" w:color="auto" w:sz="4" w:space="0"/>
              <w:right w:val="single" w:color="auto" w:sz="4" w:space="0"/>
            </w:tcBorders>
          </w:tcPr>
          <w:p>
            <w:pPr>
              <w:pStyle w:val="35"/>
            </w:pPr>
            <w:r>
              <w:t>120</w:t>
            </w:r>
          </w:p>
        </w:tc>
        <w:tc>
          <w:tcPr>
            <w:tcW w:w="1478" w:type="pct"/>
            <w:tcBorders>
              <w:top w:val="single" w:color="auto" w:sz="4" w:space="0"/>
              <w:left w:val="single" w:color="auto" w:sz="4" w:space="0"/>
              <w:bottom w:val="single" w:color="auto" w:sz="4" w:space="0"/>
              <w:right w:val="single" w:color="auto" w:sz="4" w:space="0"/>
            </w:tcBorders>
          </w:tcPr>
          <w:p>
            <w:pPr>
              <w:pStyle w:val="35"/>
            </w:pPr>
            <w:r>
              <w:t>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35"/>
            </w:pPr>
          </w:p>
        </w:tc>
        <w:tc>
          <w:tcPr>
            <w:tcW w:w="1244" w:type="pct"/>
            <w:tcBorders>
              <w:top w:val="nil"/>
              <w:left w:val="single" w:color="auto" w:sz="4" w:space="0"/>
              <w:bottom w:val="single" w:color="auto" w:sz="4" w:space="0"/>
              <w:right w:val="single" w:color="auto" w:sz="4" w:space="0"/>
            </w:tcBorders>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480</w:t>
            </w:r>
          </w:p>
        </w:tc>
        <w:tc>
          <w:tcPr>
            <w:tcW w:w="1478" w:type="pct"/>
            <w:tcBorders>
              <w:top w:val="single" w:color="auto" w:sz="4" w:space="0"/>
              <w:left w:val="single" w:color="auto" w:sz="4" w:space="0"/>
              <w:bottom w:val="single" w:color="auto" w:sz="4" w:space="0"/>
              <w:right w:val="single" w:color="auto" w:sz="4" w:space="0"/>
            </w:tcBorders>
          </w:tcPr>
          <w:p>
            <w:pPr>
              <w:pStyle w:val="35"/>
            </w:pPr>
            <w:r>
              <w:t>[1.58]*64*T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35"/>
            </w:pPr>
          </w:p>
        </w:tc>
        <w:tc>
          <w:tcPr>
            <w:tcW w:w="1244" w:type="pct"/>
            <w:tcBorders>
              <w:top w:val="single" w:color="auto" w:sz="4" w:space="0"/>
              <w:left w:val="single" w:color="auto" w:sz="4" w:space="0"/>
              <w:bottom w:val="nil"/>
              <w:right w:val="single" w:color="auto" w:sz="4" w:space="0"/>
            </w:tcBorders>
          </w:tcPr>
          <w:p>
            <w:pPr>
              <w:pStyle w:val="35"/>
            </w:pPr>
            <w:r>
              <w:t>480</w:t>
            </w:r>
          </w:p>
        </w:tc>
        <w:tc>
          <w:tcPr>
            <w:tcW w:w="1245" w:type="pct"/>
            <w:tcBorders>
              <w:top w:val="single" w:color="auto" w:sz="4" w:space="0"/>
              <w:left w:val="single" w:color="auto" w:sz="4" w:space="0"/>
              <w:bottom w:val="single" w:color="auto" w:sz="4" w:space="0"/>
              <w:right w:val="single" w:color="auto" w:sz="4" w:space="0"/>
            </w:tcBorders>
          </w:tcPr>
          <w:p>
            <w:pPr>
              <w:pStyle w:val="35"/>
            </w:pPr>
            <w:r>
              <w:t>120</w:t>
            </w:r>
          </w:p>
        </w:tc>
        <w:tc>
          <w:tcPr>
            <w:tcW w:w="1478" w:type="pct"/>
            <w:tcBorders>
              <w:top w:val="single" w:color="auto" w:sz="4" w:space="0"/>
              <w:left w:val="single" w:color="auto" w:sz="4" w:space="0"/>
              <w:bottom w:val="single" w:color="auto" w:sz="4" w:space="0"/>
              <w:right w:val="single" w:color="auto" w:sz="4" w:space="0"/>
            </w:tcBorders>
          </w:tcPr>
          <w:p>
            <w:pPr>
              <w:pStyle w:val="35"/>
            </w:pPr>
            <w:r>
              <w:t>2.86*64*T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35"/>
            </w:pPr>
          </w:p>
        </w:tc>
        <w:tc>
          <w:tcPr>
            <w:tcW w:w="1244" w:type="pct"/>
            <w:tcBorders>
              <w:top w:val="nil"/>
              <w:left w:val="single" w:color="auto" w:sz="4" w:space="0"/>
              <w:bottom w:val="nil"/>
              <w:right w:val="single" w:color="auto" w:sz="4" w:space="0"/>
            </w:tcBorders>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480</w:t>
            </w:r>
          </w:p>
        </w:tc>
        <w:tc>
          <w:tcPr>
            <w:tcW w:w="1478" w:type="pct"/>
            <w:tcBorders>
              <w:top w:val="single" w:color="auto" w:sz="4" w:space="0"/>
              <w:left w:val="single" w:color="auto" w:sz="4" w:space="0"/>
              <w:bottom w:val="single" w:color="auto" w:sz="4" w:space="0"/>
              <w:right w:val="single" w:color="auto" w:sz="4" w:space="0"/>
            </w:tcBorders>
          </w:tcPr>
          <w:p>
            <w:pPr>
              <w:pStyle w:val="35"/>
            </w:pPr>
            <w:r>
              <w:t>[1.35]*64*T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35"/>
            </w:pPr>
          </w:p>
        </w:tc>
        <w:tc>
          <w:tcPr>
            <w:tcW w:w="1244" w:type="pct"/>
            <w:tcBorders>
              <w:top w:val="nil"/>
              <w:left w:val="single" w:color="auto" w:sz="4" w:space="0"/>
              <w:bottom w:val="single" w:color="auto" w:sz="4" w:space="0"/>
              <w:right w:val="single" w:color="auto" w:sz="4" w:space="0"/>
            </w:tcBorders>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960</w:t>
            </w:r>
          </w:p>
        </w:tc>
        <w:tc>
          <w:tcPr>
            <w:tcW w:w="1478" w:type="pct"/>
            <w:tcBorders>
              <w:top w:val="single" w:color="auto" w:sz="4" w:space="0"/>
              <w:left w:val="single" w:color="auto" w:sz="4" w:space="0"/>
              <w:bottom w:val="single" w:color="auto" w:sz="4" w:space="0"/>
              <w:right w:val="single" w:color="auto" w:sz="4" w:space="0"/>
            </w:tcBorders>
          </w:tcPr>
          <w:p>
            <w:pPr>
              <w:pStyle w:val="35"/>
            </w:pPr>
            <w:r>
              <w:t>[0.90]*64*T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35"/>
            </w:pPr>
          </w:p>
        </w:tc>
        <w:tc>
          <w:tcPr>
            <w:tcW w:w="1244" w:type="pct"/>
            <w:tcBorders>
              <w:top w:val="single" w:color="auto" w:sz="4" w:space="0"/>
              <w:left w:val="single" w:color="auto" w:sz="4" w:space="0"/>
              <w:bottom w:val="nil"/>
              <w:right w:val="single" w:color="auto" w:sz="4" w:space="0"/>
            </w:tcBorders>
          </w:tcPr>
          <w:p>
            <w:pPr>
              <w:pStyle w:val="35"/>
            </w:pPr>
            <w:r>
              <w:t>960</w:t>
            </w:r>
          </w:p>
        </w:tc>
        <w:tc>
          <w:tcPr>
            <w:tcW w:w="1245" w:type="pct"/>
            <w:tcBorders>
              <w:top w:val="single" w:color="auto" w:sz="4" w:space="0"/>
              <w:left w:val="single" w:color="auto" w:sz="4" w:space="0"/>
              <w:bottom w:val="single" w:color="auto" w:sz="4" w:space="0"/>
              <w:right w:val="single" w:color="auto" w:sz="4" w:space="0"/>
            </w:tcBorders>
          </w:tcPr>
          <w:p>
            <w:pPr>
              <w:pStyle w:val="35"/>
            </w:pPr>
            <w:r>
              <w:t>120</w:t>
            </w:r>
          </w:p>
        </w:tc>
        <w:tc>
          <w:tcPr>
            <w:tcW w:w="1478" w:type="pct"/>
            <w:tcBorders>
              <w:top w:val="single" w:color="auto" w:sz="4" w:space="0"/>
              <w:left w:val="single" w:color="auto" w:sz="4" w:space="0"/>
              <w:bottom w:val="single" w:color="auto" w:sz="4" w:space="0"/>
              <w:right w:val="single" w:color="auto" w:sz="4" w:space="0"/>
            </w:tcBorders>
          </w:tcPr>
          <w:p>
            <w:pPr>
              <w:pStyle w:val="35"/>
            </w:pPr>
            <w:r>
              <w:t>2.80*64*T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nil"/>
              <w:right w:val="single" w:color="auto" w:sz="4" w:space="0"/>
            </w:tcBorders>
          </w:tcPr>
          <w:p>
            <w:pPr>
              <w:pStyle w:val="35"/>
            </w:pPr>
          </w:p>
        </w:tc>
        <w:tc>
          <w:tcPr>
            <w:tcW w:w="1244" w:type="pct"/>
            <w:tcBorders>
              <w:top w:val="nil"/>
              <w:left w:val="single" w:color="auto" w:sz="4" w:space="0"/>
              <w:bottom w:val="nil"/>
              <w:right w:val="single" w:color="auto" w:sz="4" w:space="0"/>
            </w:tcBorders>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480</w:t>
            </w:r>
          </w:p>
        </w:tc>
        <w:tc>
          <w:tcPr>
            <w:tcW w:w="1478" w:type="pct"/>
            <w:tcBorders>
              <w:top w:val="single" w:color="auto" w:sz="4" w:space="0"/>
              <w:left w:val="single" w:color="auto" w:sz="4" w:space="0"/>
              <w:bottom w:val="single" w:color="auto" w:sz="4" w:space="0"/>
              <w:right w:val="single" w:color="auto" w:sz="4" w:space="0"/>
            </w:tcBorders>
          </w:tcPr>
          <w:p>
            <w:pPr>
              <w:pStyle w:val="35"/>
            </w:pPr>
            <w:r>
              <w:t>[1.13]*64*T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left w:val="single" w:color="auto" w:sz="4" w:space="0"/>
              <w:bottom w:val="single" w:color="auto" w:sz="4" w:space="0"/>
              <w:right w:val="single" w:color="auto" w:sz="4" w:space="0"/>
            </w:tcBorders>
          </w:tcPr>
          <w:p>
            <w:pPr>
              <w:pStyle w:val="35"/>
            </w:pPr>
          </w:p>
        </w:tc>
        <w:tc>
          <w:tcPr>
            <w:tcW w:w="1244" w:type="pct"/>
            <w:tcBorders>
              <w:top w:val="nil"/>
              <w:left w:val="single" w:color="auto" w:sz="4" w:space="0"/>
              <w:bottom w:val="single" w:color="auto" w:sz="4" w:space="0"/>
              <w:right w:val="single" w:color="auto" w:sz="4" w:space="0"/>
            </w:tcBorders>
          </w:tcPr>
          <w:p>
            <w:pPr>
              <w:pStyle w:val="35"/>
            </w:pPr>
          </w:p>
        </w:tc>
        <w:tc>
          <w:tcPr>
            <w:tcW w:w="1245" w:type="pct"/>
            <w:tcBorders>
              <w:top w:val="single" w:color="auto" w:sz="4" w:space="0"/>
              <w:left w:val="single" w:color="auto" w:sz="4" w:space="0"/>
              <w:bottom w:val="single" w:color="auto" w:sz="4" w:space="0"/>
              <w:right w:val="single" w:color="auto" w:sz="4" w:space="0"/>
            </w:tcBorders>
          </w:tcPr>
          <w:p>
            <w:pPr>
              <w:pStyle w:val="35"/>
            </w:pPr>
            <w:r>
              <w:t>960</w:t>
            </w:r>
          </w:p>
        </w:tc>
        <w:tc>
          <w:tcPr>
            <w:tcW w:w="1478" w:type="pct"/>
            <w:tcBorders>
              <w:top w:val="single" w:color="auto" w:sz="4" w:space="0"/>
              <w:left w:val="single" w:color="auto" w:sz="4" w:space="0"/>
              <w:bottom w:val="single" w:color="auto" w:sz="4" w:space="0"/>
              <w:right w:val="single" w:color="auto" w:sz="4" w:space="0"/>
            </w:tcBorders>
          </w:tcPr>
          <w:p>
            <w:pPr>
              <w:pStyle w:val="35"/>
            </w:pPr>
            <w:r>
              <w:t>[0.86]*64*T</w:t>
            </w:r>
            <w:r>
              <w:rPr>
                <w:vertAlign w:val="subscript"/>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3"/>
            </w:pPr>
            <w:r>
              <w:rPr>
                <w:rFonts w:cs="Arial"/>
              </w:rPr>
              <w:t>Note</w:t>
            </w:r>
            <w:r>
              <w:t xml:space="preserve"> 1:</w:t>
            </w:r>
            <w:r>
              <w:tab/>
            </w:r>
            <w:r>
              <w:t>T</w:t>
            </w:r>
            <w:r>
              <w:rPr>
                <w:vertAlign w:val="subscript"/>
              </w:rPr>
              <w:t>c</w:t>
            </w:r>
            <w:r>
              <w:t xml:space="preserve"> is the basic timing unit defined in TS 38.211 [6]</w:t>
            </w:r>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For TA adjustment accuracy, it is specified in Table 7.3.2.2-1 of [3] as follows:</w:t>
      </w:r>
    </w:p>
    <w:p>
      <w:pPr>
        <w:pStyle w:val="37"/>
        <w:rPr>
          <w:lang w:val="en-US"/>
        </w:rPr>
      </w:pPr>
      <w:r>
        <w:t>Table 7.3.2.2-</w:t>
      </w:r>
      <w:r>
        <w:rPr>
          <w:lang w:eastAsia="ja-JP"/>
        </w:rPr>
        <w:t>1</w:t>
      </w:r>
      <w:r>
        <w:t xml:space="preserve">: </w:t>
      </w:r>
      <w:r>
        <w:rPr>
          <w:lang w:eastAsia="ja-JP"/>
        </w:rPr>
        <w:t>UE Timing Advance adjustment accuracy</w:t>
      </w:r>
    </w:p>
    <w:tbl>
      <w:tblPr>
        <w:tblStyle w:val="16"/>
        <w:tblW w:w="8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0"/>
        <w:gridCol w:w="982"/>
        <w:gridCol w:w="1002"/>
        <w:gridCol w:w="992"/>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2260" w:type="dxa"/>
            <w:shd w:val="clear" w:color="auto" w:fill="auto"/>
          </w:tcPr>
          <w:p>
            <w:pPr>
              <w:pStyle w:val="34"/>
            </w:pPr>
            <w:r>
              <w:t>UL Sub Carrier Spacing(kHz)</w:t>
            </w:r>
          </w:p>
        </w:tc>
        <w:tc>
          <w:tcPr>
            <w:tcW w:w="982" w:type="dxa"/>
            <w:shd w:val="clear" w:color="auto" w:fill="auto"/>
            <w:vAlign w:val="center"/>
          </w:tcPr>
          <w:p>
            <w:pPr>
              <w:pStyle w:val="34"/>
              <w:rPr>
                <w:lang w:val="en-US"/>
              </w:rPr>
            </w:pPr>
            <w:r>
              <w:t>15</w:t>
            </w:r>
          </w:p>
        </w:tc>
        <w:tc>
          <w:tcPr>
            <w:tcW w:w="1002" w:type="dxa"/>
            <w:shd w:val="clear" w:color="auto" w:fill="auto"/>
            <w:vAlign w:val="center"/>
          </w:tcPr>
          <w:p>
            <w:pPr>
              <w:pStyle w:val="34"/>
              <w:rPr>
                <w:lang w:val="en-US"/>
              </w:rPr>
            </w:pPr>
            <w:r>
              <w:t>30</w:t>
            </w:r>
          </w:p>
        </w:tc>
        <w:tc>
          <w:tcPr>
            <w:tcW w:w="992" w:type="dxa"/>
            <w:shd w:val="clear" w:color="auto" w:fill="auto"/>
            <w:vAlign w:val="center"/>
          </w:tcPr>
          <w:p>
            <w:pPr>
              <w:pStyle w:val="34"/>
              <w:rPr>
                <w:lang w:val="en-US"/>
              </w:rPr>
            </w:pPr>
            <w:r>
              <w:t>60</w:t>
            </w:r>
          </w:p>
        </w:tc>
        <w:tc>
          <w:tcPr>
            <w:tcW w:w="1134" w:type="dxa"/>
            <w:shd w:val="clear" w:color="auto" w:fill="auto"/>
            <w:vAlign w:val="center"/>
          </w:tcPr>
          <w:p>
            <w:pPr>
              <w:pStyle w:val="34"/>
              <w:rPr>
                <w:lang w:val="en-US"/>
              </w:rPr>
            </w:pPr>
            <w:r>
              <w:t>120</w:t>
            </w:r>
          </w:p>
        </w:tc>
        <w:tc>
          <w:tcPr>
            <w:tcW w:w="1134" w:type="dxa"/>
            <w:vAlign w:val="center"/>
          </w:tcPr>
          <w:p>
            <w:pPr>
              <w:pStyle w:val="34"/>
            </w:pPr>
            <w:r>
              <w:t>480</w:t>
            </w:r>
          </w:p>
        </w:tc>
        <w:tc>
          <w:tcPr>
            <w:tcW w:w="1134" w:type="dxa"/>
            <w:vAlign w:val="center"/>
          </w:tcPr>
          <w:p>
            <w:pPr>
              <w:pStyle w:val="34"/>
            </w:pPr>
            <w:r>
              <w:t>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2260" w:type="dxa"/>
            <w:shd w:val="clear" w:color="auto" w:fill="auto"/>
          </w:tcPr>
          <w:p>
            <w:pPr>
              <w:pStyle w:val="34"/>
            </w:pPr>
            <w:r>
              <w:t>UE Timing Advance adjustment accuracy</w:t>
            </w:r>
          </w:p>
        </w:tc>
        <w:tc>
          <w:tcPr>
            <w:tcW w:w="982" w:type="dxa"/>
            <w:shd w:val="clear" w:color="auto" w:fill="auto"/>
            <w:vAlign w:val="center"/>
          </w:tcPr>
          <w:p>
            <w:pPr>
              <w:pStyle w:val="35"/>
              <w:rPr>
                <w:lang w:val="en-US"/>
              </w:rPr>
            </w:pPr>
            <w:r>
              <w:rPr>
                <w:szCs w:val="22"/>
                <w:lang w:val="en-US"/>
              </w:rPr>
              <w:t>±</w:t>
            </w:r>
            <w:r>
              <w:t>256 T</w:t>
            </w:r>
            <w:r>
              <w:rPr>
                <w:vertAlign w:val="subscript"/>
              </w:rPr>
              <w:t>c</w:t>
            </w:r>
          </w:p>
        </w:tc>
        <w:tc>
          <w:tcPr>
            <w:tcW w:w="1002" w:type="dxa"/>
            <w:shd w:val="clear" w:color="auto" w:fill="auto"/>
            <w:vAlign w:val="center"/>
          </w:tcPr>
          <w:p>
            <w:pPr>
              <w:pStyle w:val="35"/>
              <w:rPr>
                <w:lang w:val="en-US"/>
              </w:rPr>
            </w:pPr>
            <w:r>
              <w:rPr>
                <w:szCs w:val="22"/>
                <w:lang w:val="en-US"/>
              </w:rPr>
              <w:t>±</w:t>
            </w:r>
            <w:r>
              <w:t>256 T</w:t>
            </w:r>
            <w:r>
              <w:rPr>
                <w:vertAlign w:val="subscript"/>
              </w:rPr>
              <w:t>c</w:t>
            </w:r>
          </w:p>
        </w:tc>
        <w:tc>
          <w:tcPr>
            <w:tcW w:w="992" w:type="dxa"/>
            <w:shd w:val="clear" w:color="auto" w:fill="auto"/>
            <w:vAlign w:val="center"/>
          </w:tcPr>
          <w:p>
            <w:pPr>
              <w:pStyle w:val="35"/>
              <w:rPr>
                <w:lang w:val="en-US"/>
              </w:rPr>
            </w:pPr>
            <w:r>
              <w:rPr>
                <w:szCs w:val="22"/>
                <w:lang w:val="en-US"/>
              </w:rPr>
              <w:t>±</w:t>
            </w:r>
            <w:r>
              <w:t>128 T</w:t>
            </w:r>
            <w:r>
              <w:rPr>
                <w:vertAlign w:val="subscript"/>
              </w:rPr>
              <w:t>c</w:t>
            </w:r>
          </w:p>
        </w:tc>
        <w:tc>
          <w:tcPr>
            <w:tcW w:w="1134" w:type="dxa"/>
            <w:shd w:val="clear" w:color="auto" w:fill="auto"/>
            <w:vAlign w:val="center"/>
          </w:tcPr>
          <w:p>
            <w:pPr>
              <w:pStyle w:val="35"/>
              <w:rPr>
                <w:lang w:val="en-US"/>
              </w:rPr>
            </w:pPr>
            <w:r>
              <w:rPr>
                <w:szCs w:val="22"/>
                <w:lang w:val="en-US"/>
              </w:rPr>
              <w:t>±</w:t>
            </w:r>
            <w:r>
              <w:t>32 T</w:t>
            </w:r>
            <w:r>
              <w:rPr>
                <w:vertAlign w:val="subscript"/>
              </w:rPr>
              <w:t>c</w:t>
            </w:r>
          </w:p>
        </w:tc>
        <w:tc>
          <w:tcPr>
            <w:tcW w:w="1134" w:type="dxa"/>
            <w:vAlign w:val="center"/>
          </w:tcPr>
          <w:p>
            <w:pPr>
              <w:pStyle w:val="35"/>
              <w:rPr>
                <w:szCs w:val="22"/>
                <w:lang w:val="en-US"/>
              </w:rPr>
            </w:pPr>
            <w:r>
              <w:rPr>
                <w:szCs w:val="22"/>
                <w:lang w:val="en-US"/>
              </w:rPr>
              <w:t>±10</w:t>
            </w:r>
            <w:r>
              <w:t xml:space="preserve"> T</w:t>
            </w:r>
            <w:r>
              <w:rPr>
                <w:vertAlign w:val="subscript"/>
              </w:rPr>
              <w:t>c</w:t>
            </w:r>
          </w:p>
        </w:tc>
        <w:tc>
          <w:tcPr>
            <w:tcW w:w="1134" w:type="dxa"/>
            <w:vAlign w:val="center"/>
          </w:tcPr>
          <w:p>
            <w:pPr>
              <w:pStyle w:val="35"/>
              <w:rPr>
                <w:szCs w:val="22"/>
                <w:lang w:val="en-US"/>
              </w:rPr>
            </w:pPr>
            <w:r>
              <w:rPr>
                <w:szCs w:val="22"/>
                <w:lang w:val="en-US"/>
              </w:rPr>
              <w:t>±6</w:t>
            </w:r>
            <w:r>
              <w:t xml:space="preserve"> T</w:t>
            </w:r>
            <w:r>
              <w:rPr>
                <w:vertAlign w:val="subscript"/>
              </w:rPr>
              <w:t>c</w:t>
            </w:r>
          </w:p>
        </w:tc>
      </w:tr>
    </w:tbl>
    <w:p>
      <w:pPr>
        <w:pStyle w:val="4"/>
        <w:tabs>
          <w:tab w:val="left" w:pos="226"/>
          <w:tab w:val="left" w:pos="284"/>
          <w:tab w:val="left" w:pos="5103"/>
        </w:tabs>
        <w:snapToGrid w:val="0"/>
        <w:spacing w:before="156" w:beforeLines="50"/>
        <w:rPr>
          <w:rFonts w:hint="eastAsia" w:ascii="Times New Roman" w:hAnsi="Times New Roman" w:eastAsia="宋体" w:cs="Times New Roman"/>
          <w:sz w:val="20"/>
          <w:szCs w:val="20"/>
          <w:lang w:val="en-US" w:eastAsia="zh-CN"/>
        </w:rPr>
      </w:pPr>
      <w:r>
        <w:rPr>
          <w:rFonts w:hint="eastAsia" w:eastAsia="宋体"/>
          <w:color w:val="auto"/>
          <w:sz w:val="20"/>
          <w:szCs w:val="20"/>
          <w:lang w:val="en-US" w:eastAsia="zh-CN"/>
        </w:rPr>
        <w:t xml:space="preserve">For TA resolution error, based on the formula of TA given by [4], the TA resolution error is </w:t>
      </w:r>
      <m:oMath>
        <m:r>
          <m:rPr>
            <m:sty m:val="p"/>
          </m:rPr>
          <w:rPr>
            <w:rFonts w:ascii="Cambria Math" w:hAnsi="Cambria Math" w:eastAsia="宋体" w:cs="Times New Roman"/>
            <w:sz w:val="20"/>
            <w:szCs w:val="20"/>
          </w:rPr>
          <m:t>16∙</m:t>
        </m:r>
        <m:f>
          <m:fPr>
            <m:type m:val="lin"/>
            <m:ctrlPr>
              <w:rPr>
                <w:rFonts w:ascii="Cambria Math" w:hAnsi="Cambria Math" w:eastAsia="宋体" w:cs="Times New Roman"/>
                <w:sz w:val="20"/>
                <w:szCs w:val="20"/>
              </w:rPr>
            </m:ctrlPr>
          </m:fPr>
          <m:num>
            <m:r>
              <m:rPr>
                <m:sty m:val="p"/>
              </m:rPr>
              <w:rPr>
                <w:rFonts w:ascii="Cambria Math" w:hAnsi="Cambria Math" w:eastAsia="宋体" w:cs="Times New Roman"/>
                <w:sz w:val="20"/>
                <w:szCs w:val="20"/>
              </w:rPr>
              <m:t>64∙</m:t>
            </m:r>
            <m:sSub>
              <m:sSubPr>
                <m:ctrlPr>
                  <w:rPr>
                    <w:rFonts w:ascii="Cambria Math" w:hAnsi="Cambria Math" w:eastAsia="宋体" w:cs="Times New Roman"/>
                    <w:sz w:val="20"/>
                    <w:szCs w:val="20"/>
                  </w:rPr>
                </m:ctrlPr>
              </m:sSubPr>
              <m:e>
                <m:r>
                  <m:rPr>
                    <m:sty m:val="p"/>
                  </m:rPr>
                  <w:rPr>
                    <w:rFonts w:ascii="Cambria Math" w:hAnsi="Cambria Math" w:eastAsia="宋体" w:cs="Times New Roman"/>
                    <w:sz w:val="20"/>
                    <w:szCs w:val="20"/>
                  </w:rPr>
                  <m:t>T</m:t>
                </m:r>
                <m:ctrlPr>
                  <w:rPr>
                    <w:rFonts w:ascii="Cambria Math" w:hAnsi="Cambria Math" w:eastAsia="宋体" w:cs="Times New Roman"/>
                    <w:sz w:val="20"/>
                    <w:szCs w:val="20"/>
                  </w:rPr>
                </m:ctrlPr>
              </m:e>
              <m:sub>
                <m:r>
                  <m:rPr>
                    <m:sty m:val="p"/>
                  </m:rPr>
                  <w:rPr>
                    <w:rFonts w:ascii="Cambria Math" w:hAnsi="Cambria Math" w:eastAsia="宋体" w:cs="Times New Roman"/>
                    <w:sz w:val="20"/>
                    <w:szCs w:val="20"/>
                  </w:rPr>
                  <m:t>c</m:t>
                </m:r>
                <m:ctrlPr>
                  <w:rPr>
                    <w:rFonts w:ascii="Cambria Math" w:hAnsi="Cambria Math" w:eastAsia="宋体" w:cs="Times New Roman"/>
                    <w:sz w:val="20"/>
                    <w:szCs w:val="20"/>
                  </w:rPr>
                </m:ctrlPr>
              </m:sub>
            </m:sSub>
            <m:ctrlPr>
              <w:rPr>
                <w:rFonts w:ascii="Cambria Math" w:hAnsi="Cambria Math" w:eastAsia="宋体" w:cs="Times New Roman"/>
                <w:sz w:val="20"/>
                <w:szCs w:val="20"/>
              </w:rPr>
            </m:ctrlPr>
          </m:num>
          <m:den>
            <m:sSup>
              <m:sSupPr>
                <m:ctrlPr>
                  <w:rPr>
                    <w:rFonts w:ascii="Cambria Math" w:hAnsi="Cambria Math" w:eastAsia="宋体" w:cs="Times New Roman"/>
                    <w:sz w:val="20"/>
                    <w:szCs w:val="20"/>
                  </w:rPr>
                </m:ctrlPr>
              </m:sSupPr>
              <m:e>
                <m:r>
                  <m:rPr>
                    <m:sty m:val="p"/>
                  </m:rPr>
                  <w:rPr>
                    <w:rFonts w:ascii="Cambria Math" w:hAnsi="Cambria Math" w:eastAsia="宋体" w:cs="Times New Roman"/>
                    <w:sz w:val="20"/>
                    <w:szCs w:val="20"/>
                  </w:rPr>
                  <m:t>2</m:t>
                </m:r>
                <m:ctrlPr>
                  <w:rPr>
                    <w:rFonts w:ascii="Cambria Math" w:hAnsi="Cambria Math" w:eastAsia="宋体" w:cs="Times New Roman"/>
                    <w:sz w:val="20"/>
                    <w:szCs w:val="20"/>
                  </w:rPr>
                </m:ctrlPr>
              </m:e>
              <m:sup>
                <m:r>
                  <m:rPr>
                    <m:sty m:val="p"/>
                  </m:rPr>
                  <w:rPr>
                    <w:rFonts w:ascii="Cambria Math" w:hAnsi="Cambria Math" w:eastAsia="宋体" w:cs="Times New Roman"/>
                    <w:sz w:val="20"/>
                    <w:szCs w:val="20"/>
                  </w:rPr>
                  <m:t>μ</m:t>
                </m:r>
                <m:ctrlPr>
                  <w:rPr>
                    <w:rFonts w:ascii="Cambria Math" w:hAnsi="Cambria Math" w:eastAsia="宋体" w:cs="Times New Roman"/>
                    <w:sz w:val="20"/>
                    <w:szCs w:val="20"/>
                  </w:rPr>
                </m:ctrlPr>
              </m:sup>
            </m:sSup>
            <m:ctrlPr>
              <w:rPr>
                <w:rFonts w:ascii="Cambria Math" w:hAnsi="Cambria Math" w:eastAsia="宋体" w:cs="Times New Roman"/>
                <w:sz w:val="20"/>
                <w:szCs w:val="20"/>
              </w:rPr>
            </m:ctrlPr>
          </m:den>
        </m:f>
      </m:oMath>
      <w:r>
        <w:rPr>
          <w:rFonts w:hint="eastAsia" w:eastAsia="宋体"/>
          <w:color w:val="auto"/>
          <w:sz w:val="20"/>
          <w:szCs w:val="20"/>
          <w:lang w:val="en-US" w:eastAsia="zh-CN"/>
        </w:rPr>
        <w:t xml:space="preserve">. So </w:t>
      </w:r>
      <w:r>
        <w:rPr>
          <w:rFonts w:ascii="Times New Roman" w:hAnsi="Times New Roman" w:eastAsia="宋体" w:cs="Times New Roman"/>
          <w:sz w:val="20"/>
          <w:szCs w:val="20"/>
        </w:rPr>
        <w:t>16*64Tc for FR1 and 256Tc for FR2-1</w:t>
      </w:r>
      <w:r>
        <w:rPr>
          <w:rFonts w:hint="eastAsia" w:ascii="Times New Roman" w:hAnsi="Times New Roman" w:eastAsia="宋体" w:cs="Times New Roman"/>
          <w:sz w:val="20"/>
          <w:szCs w:val="20"/>
          <w:lang w:val="en-US" w:eastAsia="zh-CN"/>
        </w:rPr>
        <w:t>.</w:t>
      </w:r>
    </w:p>
    <w:p>
      <w:pPr>
        <w:pStyle w:val="4"/>
        <w:tabs>
          <w:tab w:val="left" w:pos="226"/>
          <w:tab w:val="left" w:pos="284"/>
          <w:tab w:val="left" w:pos="5103"/>
        </w:tabs>
        <w:snapToGrid w:val="0"/>
        <w:spacing w:before="156" w:beforeLines="5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Based on the above three components, we can derive the value of M1, M2. For FR1, M1 is about 1.6 us, and for FR2, M2 is about 0.5 us.</w:t>
      </w:r>
    </w:p>
    <w:p>
      <w:pPr>
        <w:pStyle w:val="4"/>
        <w:numPr>
          <w:ilvl w:val="0"/>
          <w:numId w:val="0"/>
        </w:numPr>
        <w:jc w:val="both"/>
        <w:rPr>
          <w:rFonts w:hint="default" w:ascii="Times New Roman" w:hAnsi="Times New Roman" w:eastAsia="宋体" w:cs="Times New Roman"/>
          <w:sz w:val="20"/>
          <w:szCs w:val="20"/>
          <w:lang w:val="en-US" w:eastAsia="zh-CN"/>
        </w:rPr>
      </w:pPr>
      <w:r>
        <w:rPr>
          <w:rFonts w:hint="eastAsia" w:eastAsia="宋体" w:cs="Times New Roman"/>
          <w:b/>
          <w:bCs/>
          <w:color w:val="auto"/>
          <w:sz w:val="20"/>
          <w:szCs w:val="20"/>
          <w:highlight w:val="none"/>
          <w:lang w:val="en-US" w:eastAsia="zh-CN" w:bidi="ar-SA"/>
        </w:rPr>
        <w:t>Observation 1: MTTD is mainly defined by MRTD and UE transmission timing margin. Such margin includes three components: Te, TA adjustment accuracy and TA resolution error. Based on the spec, the sum of such three components is: 1.6 us for FR1 and 0.5 us for FR2.</w:t>
      </w:r>
    </w:p>
    <w:p>
      <w:pPr>
        <w:pStyle w:val="4"/>
        <w:tabs>
          <w:tab w:val="left" w:pos="226"/>
          <w:tab w:val="left" w:pos="284"/>
          <w:tab w:val="left" w:pos="5103"/>
        </w:tabs>
        <w:snapToGrid w:val="0"/>
        <w:spacing w:before="156" w:beforeLines="50"/>
        <w:rPr>
          <w:rFonts w:hint="eastAsia" w:ascii="Times New Roman" w:hAnsi="Times New Roman" w:eastAsia="宋体" w:cs="Times New Roman"/>
          <w:sz w:val="20"/>
          <w:szCs w:val="20"/>
          <w:lang w:val="en-US" w:eastAsia="zh-CN"/>
        </w:rPr>
      </w:pPr>
      <w:r>
        <w:rPr>
          <w:rFonts w:hint="eastAsia" w:ascii="Times New Roman" w:hAnsi="Times New Roman" w:eastAsia="宋体" w:cs="Times New Roman"/>
          <w:sz w:val="20"/>
          <w:szCs w:val="20"/>
          <w:lang w:val="en-US" w:eastAsia="zh-CN"/>
        </w:rPr>
        <w:t xml:space="preserve">Compared the current MRTD/MTTD, in fact the difference between MRTD and MTTD is 1.6 us for FR1 and 0.5 us for FR2, same as the above estimation. That is no matter whether the UE is capable of RTD &gt; CP or not, the difference between MRTD and MTTD should be aligned, such difference would not change along with the UE capability. So obviously we prefer Option 2. </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1: No matter whether the UE is capable of RTD &gt; CP or not, the difference between MRTD and MTTD should be aligned, i.e. M1 is 1.6us for FR1 and M2 is 0.5us for FR2. </w:t>
      </w:r>
    </w:p>
    <w:p>
      <w:pPr>
        <w:pStyle w:val="4"/>
        <w:numPr>
          <w:ilvl w:val="0"/>
          <w:numId w:val="0"/>
        </w:numPr>
        <w:jc w:val="both"/>
        <w:rPr>
          <w:rFonts w:hint="eastAsia" w:eastAsia="宋体"/>
          <w:b/>
          <w:bCs/>
          <w:color w:val="auto"/>
          <w:sz w:val="20"/>
          <w:szCs w:val="20"/>
          <w:highlight w:val="none"/>
          <w:u w:val="single"/>
          <w:lang w:val="en-US" w:eastAsia="zh-CN"/>
        </w:rPr>
      </w:pPr>
      <w:r>
        <w:rPr>
          <w:rFonts w:hint="eastAsia" w:eastAsia="宋体"/>
          <w:b/>
          <w:bCs/>
          <w:color w:val="auto"/>
          <w:sz w:val="20"/>
          <w:szCs w:val="20"/>
          <w:highlight w:val="none"/>
          <w:u w:val="single"/>
          <w:lang w:val="en-US" w:eastAsia="zh-CN"/>
        </w:rPr>
        <w:t>Reference timing</w:t>
      </w:r>
    </w:p>
    <w:p>
      <w:pPr>
        <w:pStyle w:val="4"/>
        <w:numPr>
          <w:ilvl w:val="0"/>
          <w:numId w:val="0"/>
        </w:numPr>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Regarding to the reference timing,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5"/>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P1: Clause 7.1: some clarification may be needed in the Introduction section regarding reference for UL Tx timing (Apple)</w:t>
            </w:r>
          </w:p>
          <w:p>
            <w:pPr>
              <w:pStyle w:val="29"/>
              <w:numPr>
                <w:ilvl w:val="0"/>
                <w:numId w:val="5"/>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P2: The UE is required to track DL RS associated to each activated UL TCI state (or joint TCI state) and use it as time reference for UL transmission. (Nokia)</w:t>
            </w:r>
          </w:p>
          <w:p>
            <w:pPr>
              <w:pStyle w:val="29"/>
              <w:numPr>
                <w:ilvl w:val="0"/>
                <w:numId w:val="5"/>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P3: Single reference timing is feasible. (Samsung)</w:t>
            </w:r>
          </w:p>
          <w:p>
            <w:pPr>
              <w:pStyle w:val="29"/>
              <w:numPr>
                <w:ilvl w:val="0"/>
                <w:numId w:val="5"/>
              </w:numPr>
              <w:overflowPunct/>
              <w:autoSpaceDE/>
              <w:autoSpaceDN/>
              <w:adjustRightInd/>
              <w:spacing w:after="120"/>
              <w:ind w:left="1020" w:leftChars="0" w:firstLineChars="0"/>
              <w:textAlignment w:val="auto"/>
              <w:rPr>
                <w:rFonts w:eastAsia="宋体"/>
                <w:szCs w:val="24"/>
                <w:lang w:eastAsia="zh-CN"/>
              </w:rPr>
            </w:pPr>
            <w:r>
              <w:rPr>
                <w:rFonts w:eastAsia="宋体"/>
                <w:szCs w:val="24"/>
                <w:lang w:eastAsia="zh-CN"/>
              </w:rPr>
              <w:t>P4: RAN4 need to study how to select the DL reference timing for each TAG on a CC and RAN1’s inputs on TAG association are needed. (Huawei)</w:t>
            </w:r>
          </w:p>
          <w:p>
            <w:pPr>
              <w:pStyle w:val="29"/>
              <w:numPr>
                <w:ilvl w:val="0"/>
                <w:numId w:val="5"/>
              </w:numPr>
              <w:overflowPunct/>
              <w:autoSpaceDE/>
              <w:autoSpaceDN/>
              <w:adjustRightInd/>
              <w:spacing w:after="120"/>
              <w:ind w:left="1020" w:leftChars="0" w:firstLineChars="0"/>
              <w:textAlignment w:val="auto"/>
              <w:rPr>
                <w:rFonts w:hint="default" w:eastAsia="宋体"/>
                <w:color w:val="auto"/>
                <w:sz w:val="20"/>
                <w:szCs w:val="20"/>
                <w:highlight w:val="none"/>
                <w:vertAlign w:val="baseline"/>
                <w:lang w:val="en-US" w:eastAsia="zh-CN"/>
              </w:rPr>
            </w:pPr>
            <w:r>
              <w:rPr>
                <w:rFonts w:eastAsia="宋体"/>
                <w:szCs w:val="24"/>
                <w:lang w:eastAsia="zh-CN"/>
              </w:rPr>
              <w:t xml:space="preserve">P5: </w:t>
            </w:r>
            <w:r>
              <w:rPr>
                <w:iCs/>
              </w:rPr>
              <w:t>RAN4 should discuss whether single reference timing shall be considered or not and if it is considered. (Ericsson)</w:t>
            </w:r>
          </w:p>
          <w:p>
            <w:pPr>
              <w:pStyle w:val="29"/>
              <w:numPr>
                <w:ilvl w:val="0"/>
                <w:numId w:val="5"/>
              </w:numPr>
              <w:overflowPunct/>
              <w:autoSpaceDE/>
              <w:autoSpaceDN/>
              <w:adjustRightInd/>
              <w:spacing w:after="120"/>
              <w:ind w:left="1020" w:leftChars="0" w:firstLineChars="0"/>
              <w:textAlignment w:val="auto"/>
              <w:rPr>
                <w:rFonts w:hint="default" w:eastAsia="宋体"/>
                <w:color w:val="auto"/>
                <w:sz w:val="20"/>
                <w:szCs w:val="20"/>
                <w:highlight w:val="none"/>
                <w:vertAlign w:val="baseline"/>
                <w:lang w:val="en-US" w:eastAsia="zh-CN"/>
              </w:rPr>
            </w:pPr>
            <w:r>
              <w:rPr>
                <w:rFonts w:eastAsiaTheme="minorEastAsia"/>
                <w:iCs/>
                <w:lang w:eastAsia="zh-CN"/>
              </w:rPr>
              <w:t>P6: FFS, more RAN1 inputs are needed.</w:t>
            </w:r>
          </w:p>
        </w:tc>
      </w:tr>
    </w:tbl>
    <w:p>
      <w:pPr>
        <w:pStyle w:val="4"/>
        <w:numPr>
          <w:ilvl w:val="0"/>
          <w:numId w:val="0"/>
        </w:numPr>
        <w:jc w:val="both"/>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uplink transmission timing, the reference timing is derived from the reception of the first detected path of the corresponding downlink frame. If the downlink signals are from m-TRP, UE applies the downlink signal detection for both of two TRPs. The reference timings will be different. So define independent reference timing for each UL Tx timing respectively is a direct solution.</w:t>
      </w:r>
    </w:p>
    <w:p>
      <w:pPr>
        <w:pStyle w:val="4"/>
        <w:numPr>
          <w:ilvl w:val="0"/>
          <w:numId w:val="0"/>
        </w:numPr>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Furthermore, if UE can identify the offset between the two reference timing(i.e. the first detected path of DL), it seems that applying a single reference timing for the two UL Tx timing is feasible. Here referring to the offset between the two reference timing, the propagation delay difference between the m-TRPs should be considered.</w:t>
      </w:r>
    </w:p>
    <w:p>
      <w:pPr>
        <w:pStyle w:val="4"/>
        <w:rPr>
          <w:rFonts w:hint="eastAsia" w:eastAsia="宋体"/>
          <w:b/>
          <w:bCs/>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2: Regarding to the reference timing of UL timing, a direct solution is to define independent reference timing for each UL Tx timing respectively. While if UE can identify the offset between the two reference timing, applying a single reference timing for the two UL Tx is feasible.</w:t>
      </w:r>
    </w:p>
    <w:p>
      <w:pPr>
        <w:pStyle w:val="4"/>
        <w:numPr>
          <w:ilvl w:val="0"/>
          <w:numId w:val="0"/>
        </w:numPr>
        <w:jc w:val="both"/>
        <w:rPr>
          <w:rFonts w:hint="default" w:eastAsia="宋体"/>
          <w:b/>
          <w:bCs/>
          <w:color w:val="auto"/>
          <w:sz w:val="20"/>
          <w:szCs w:val="20"/>
          <w:highlight w:val="none"/>
          <w:u w:val="single"/>
          <w:lang w:val="en-US" w:eastAsia="zh-CN"/>
        </w:rPr>
      </w:pPr>
      <w:r>
        <w:rPr>
          <w:rFonts w:hint="eastAsia" w:eastAsia="宋体"/>
          <w:b/>
          <w:bCs/>
          <w:color w:val="auto"/>
          <w:sz w:val="20"/>
          <w:szCs w:val="20"/>
          <w:highlight w:val="none"/>
          <w:u w:val="single"/>
          <w:lang w:val="en-US" w:eastAsia="zh-CN"/>
        </w:rPr>
        <w:t>Whether to consider two UL transmissions associated with two TAs are partially overlapped</w:t>
      </w:r>
    </w:p>
    <w:p>
      <w:pPr>
        <w:pStyle w:val="4"/>
        <w:numPr>
          <w:ilvl w:val="0"/>
          <w:numId w:val="0"/>
        </w:numPr>
        <w:ind w:leftChars="0"/>
        <w:jc w:val="both"/>
        <w:rPr>
          <w:rFonts w:hint="eastAsia" w:eastAsia="宋体"/>
          <w:lang w:val="en-US" w:eastAsia="zh-CN"/>
        </w:rPr>
      </w:pPr>
      <w:r>
        <w:rPr>
          <w:rFonts w:hint="eastAsia" w:eastAsia="宋体"/>
          <w:lang w:val="en-US" w:eastAsia="zh-CN"/>
        </w:rPr>
        <w:t>With respect to this issue, the following options were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0"/>
                <w:numId w:val="5"/>
              </w:numPr>
              <w:kinsoku/>
              <w:wordWrap/>
              <w:overflowPunct/>
              <w:topLinePunct w:val="0"/>
              <w:autoSpaceDE/>
              <w:autoSpaceDN/>
              <w:bidi w:val="0"/>
              <w:adjustRightInd/>
              <w:snapToGrid/>
              <w:ind w:left="1020" w:leftChars="0" w:hanging="363" w:firstLineChars="0"/>
              <w:textAlignment w:val="auto"/>
              <w:rPr>
                <w:rFonts w:eastAsia="宋体"/>
                <w:szCs w:val="24"/>
                <w:lang w:eastAsia="zh-CN"/>
              </w:rPr>
            </w:pPr>
            <w:r>
              <w:rPr>
                <w:rFonts w:eastAsia="宋体"/>
                <w:szCs w:val="24"/>
                <w:lang w:eastAsia="zh-CN"/>
              </w:rPr>
              <w:t xml:space="preserve">Option 1: RAN4 need to study the following two aspects: </w:t>
            </w:r>
          </w:p>
          <w:p>
            <w:pPr>
              <w:pStyle w:val="29"/>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textAlignment w:val="auto"/>
              <w:rPr>
                <w:rFonts w:eastAsia="宋体"/>
                <w:szCs w:val="24"/>
                <w:lang w:eastAsia="zh-CN"/>
              </w:rPr>
            </w:pPr>
            <w:r>
              <w:rPr>
                <w:rFonts w:eastAsia="宋体"/>
                <w:szCs w:val="24"/>
                <w:lang w:eastAsia="zh-CN"/>
              </w:rPr>
              <w:t>Whether or when partially overlapped UL transmissions with different TAs is allowed.</w:t>
            </w:r>
          </w:p>
          <w:p>
            <w:pPr>
              <w:pStyle w:val="29"/>
              <w:keepNext w:val="0"/>
              <w:keepLines w:val="0"/>
              <w:pageBreakBefore w:val="0"/>
              <w:widowControl w:val="0"/>
              <w:numPr>
                <w:ilvl w:val="1"/>
                <w:numId w:val="5"/>
              </w:numPr>
              <w:kinsoku/>
              <w:wordWrap/>
              <w:overflowPunct/>
              <w:topLinePunct w:val="0"/>
              <w:autoSpaceDE/>
              <w:autoSpaceDN/>
              <w:bidi w:val="0"/>
              <w:adjustRightInd/>
              <w:snapToGrid/>
              <w:ind w:left="1236" w:leftChars="0" w:hanging="360" w:firstLineChars="0"/>
              <w:textAlignment w:val="auto"/>
              <w:rPr>
                <w:rFonts w:eastAsia="宋体"/>
                <w:szCs w:val="24"/>
                <w:lang w:eastAsia="zh-CN"/>
              </w:rPr>
            </w:pPr>
            <w:r>
              <w:rPr>
                <w:rFonts w:eastAsia="宋体"/>
                <w:szCs w:val="24"/>
                <w:lang w:eastAsia="zh-CN"/>
              </w:rPr>
              <w:t>How to handle overlapping part between two UL transmissions associated with two TAs if not allowed.</w:t>
            </w:r>
          </w:p>
          <w:p>
            <w:pPr>
              <w:pStyle w:val="29"/>
              <w:keepNext w:val="0"/>
              <w:keepLines w:val="0"/>
              <w:pageBreakBefore w:val="0"/>
              <w:widowControl w:val="0"/>
              <w:numPr>
                <w:ilvl w:val="0"/>
                <w:numId w:val="5"/>
              </w:numPr>
              <w:kinsoku/>
              <w:wordWrap/>
              <w:overflowPunct/>
              <w:topLinePunct w:val="0"/>
              <w:autoSpaceDE/>
              <w:autoSpaceDN/>
              <w:bidi w:val="0"/>
              <w:adjustRightInd/>
              <w:snapToGrid/>
              <w:ind w:left="1020" w:leftChars="0" w:hanging="363" w:firstLineChars="0"/>
              <w:textAlignment w:val="auto"/>
              <w:rPr>
                <w:rFonts w:hint="default" w:eastAsia="宋体"/>
                <w:vertAlign w:val="baseline"/>
                <w:lang w:val="en-US" w:eastAsia="zh-CN"/>
              </w:rPr>
            </w:pPr>
            <w:r>
              <w:rPr>
                <w:rFonts w:ascii="Calibri" w:hAnsi="Calibri" w:eastAsia="宋体" w:cs="Times New Roman"/>
                <w:kern w:val="2"/>
                <w:sz w:val="21"/>
                <w:szCs w:val="24"/>
                <w:lang w:val="en-US" w:eastAsia="zh-CN" w:bidi="ar-SA"/>
              </w:rPr>
              <w:t xml:space="preserve">Option 2: From RAN4 RRM perspective, for TDM based multi-DCI uplink transmission in one component carrier, considering the worst case, the minimal separation between the two UL transmissions associated with two TAs should not be less than the transient period specified in RF specs. Overlapping between UL transmission is not allowed. </w:t>
            </w:r>
          </w:p>
        </w:tc>
      </w:tr>
    </w:tbl>
    <w:p>
      <w:pPr>
        <w:pStyle w:val="4"/>
        <w:numPr>
          <w:ilvl w:val="0"/>
          <w:numId w:val="0"/>
        </w:numPr>
        <w:ind w:leftChars="0"/>
        <w:jc w:val="both"/>
        <w:rPr>
          <w:rFonts w:hint="eastAsia" w:eastAsia="宋体"/>
          <w:lang w:val="en-US" w:eastAsia="zh-CN"/>
        </w:rPr>
      </w:pPr>
      <w:r>
        <w:rPr>
          <w:rFonts w:hint="eastAsia" w:eastAsia="宋体"/>
          <w:lang w:val="en-US" w:eastAsia="zh-CN"/>
        </w:rPr>
        <w:t xml:space="preserve">In our view, this issue is closely related with the assumption of the PA architecture. Once only a single PA is assumed for the two UL transmissions associated with two TAs, it seems that the minimal separation between the two UL transmission should not be less than the transient period define in RF session. </w:t>
      </w:r>
    </w:p>
    <w:p>
      <w:pPr>
        <w:pStyle w:val="4"/>
        <w:numPr>
          <w:ilvl w:val="0"/>
          <w:numId w:val="0"/>
        </w:numPr>
        <w:ind w:leftChars="0"/>
        <w:jc w:val="both"/>
        <w:rPr>
          <w:rFonts w:hint="default" w:eastAsia="宋体"/>
          <w:lang w:val="en-US" w:eastAsia="zh-CN"/>
        </w:rPr>
      </w:pPr>
      <w:r>
        <w:rPr>
          <w:rFonts w:hint="eastAsia" w:eastAsia="宋体" w:cs="Times New Roman"/>
          <w:b/>
          <w:bCs/>
          <w:color w:val="auto"/>
          <w:sz w:val="20"/>
          <w:szCs w:val="20"/>
          <w:highlight w:val="none"/>
          <w:lang w:val="en-US" w:eastAsia="zh-CN" w:bidi="ar-SA"/>
        </w:rPr>
        <w:t>Proposal 3: Whether two partial overlapped UL transmissions with two TAs are allowed, which depends on the PA architecture.</w:t>
      </w:r>
    </w:p>
    <w:p>
      <w:pPr>
        <w:pStyle w:val="4"/>
        <w:numPr>
          <w:ilvl w:val="0"/>
          <w:numId w:val="0"/>
        </w:numPr>
        <w:jc w:val="both"/>
        <w:rPr>
          <w:rFonts w:hint="eastAsia" w:eastAsia="宋体"/>
          <w:b/>
          <w:bCs/>
          <w:color w:val="auto"/>
          <w:sz w:val="20"/>
          <w:szCs w:val="20"/>
          <w:highlight w:val="none"/>
          <w:u w:val="single"/>
          <w:lang w:val="en-US" w:eastAsia="zh-CN"/>
        </w:rPr>
      </w:pPr>
      <w:r>
        <w:rPr>
          <w:rFonts w:hint="eastAsia" w:eastAsia="宋体"/>
          <w:b/>
          <w:bCs/>
          <w:color w:val="auto"/>
          <w:sz w:val="20"/>
          <w:szCs w:val="20"/>
          <w:highlight w:val="none"/>
          <w:u w:val="single"/>
          <w:lang w:val="en-US" w:eastAsia="zh-CN"/>
        </w:rPr>
        <w:t>Whether to consider transient period between 2 UL signals with 2 different TAs for MRTD and MTTD requirements</w:t>
      </w:r>
    </w:p>
    <w:p>
      <w:pPr>
        <w:pStyle w:val="4"/>
        <w:numPr>
          <w:ilvl w:val="0"/>
          <w:numId w:val="0"/>
        </w:numPr>
        <w:ind w:leftChars="0"/>
        <w:jc w:val="both"/>
        <w:rPr>
          <w:rFonts w:hint="eastAsia" w:eastAsia="宋体"/>
          <w:lang w:val="en-US" w:eastAsia="zh-CN"/>
        </w:rPr>
      </w:pPr>
      <w:r>
        <w:rPr>
          <w:rFonts w:hint="eastAsia" w:eastAsia="宋体"/>
          <w:lang w:val="en-US" w:eastAsia="zh-CN"/>
        </w:rPr>
        <w:t>Regarding to this issue, the following option was proposed in last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0"/>
                <w:numId w:val="5"/>
              </w:numPr>
              <w:overflowPunct/>
              <w:autoSpaceDE/>
              <w:autoSpaceDN/>
              <w:adjustRightInd/>
              <w:spacing w:after="120"/>
              <w:ind w:left="1020" w:leftChars="0" w:firstLineChars="0"/>
              <w:textAlignment w:val="auto"/>
              <w:rPr>
                <w:rFonts w:hint="default" w:eastAsia="宋体"/>
                <w:vertAlign w:val="baseline"/>
                <w:lang w:val="en-US" w:eastAsia="zh-CN"/>
              </w:rPr>
            </w:pPr>
            <w:r>
              <w:rPr>
                <w:rFonts w:eastAsia="宋体"/>
                <w:lang w:eastAsia="zh-CN"/>
              </w:rPr>
              <w:t xml:space="preserve">Option 1: Not to consider the transient period for MRTD and MTTD requirement. </w:t>
            </w:r>
          </w:p>
          <w:p>
            <w:pPr>
              <w:pStyle w:val="29"/>
              <w:numPr>
                <w:ilvl w:val="1"/>
                <w:numId w:val="5"/>
              </w:numPr>
              <w:overflowPunct/>
              <w:autoSpaceDE/>
              <w:autoSpaceDN/>
              <w:adjustRightInd/>
              <w:spacing w:after="120"/>
              <w:ind w:left="1440" w:leftChars="0" w:firstLineChars="0"/>
              <w:textAlignment w:val="auto"/>
              <w:rPr>
                <w:rFonts w:hint="default" w:eastAsia="宋体"/>
                <w:vertAlign w:val="baseline"/>
                <w:lang w:val="en-US" w:eastAsia="zh-CN"/>
              </w:rPr>
            </w:pPr>
            <w:r>
              <w:rPr>
                <w:rFonts w:eastAsia="宋体"/>
                <w:lang w:eastAsia="zh-CN"/>
              </w:rPr>
              <w:t xml:space="preserve">Option 1a: </w:t>
            </w:r>
            <w:r>
              <w:rPr>
                <w:rFonts w:eastAsiaTheme="minorEastAsia"/>
                <w:lang w:eastAsia="zh-CN"/>
              </w:rPr>
              <w:t>There is no need to define the</w:t>
            </w:r>
            <w:r>
              <w:t xml:space="preserve"> </w:t>
            </w:r>
            <w:r>
              <w:rPr>
                <w:rFonts w:eastAsiaTheme="minorEastAsia"/>
                <w:lang w:eastAsia="zh-CN"/>
              </w:rPr>
              <w:t xml:space="preserve">transient period for uplink timing adjustment operation. </w:t>
            </w:r>
            <w:r>
              <w:rPr>
                <w:rFonts w:eastAsia="宋体"/>
                <w:lang w:eastAsia="zh-CN"/>
              </w:rPr>
              <w:t xml:space="preserve">For UE not capable of supporting RTD&gt;CP, the performance degradation is expected for the first symbol of the first slot after the switching between two UL signals with different TAs, when the timing difference between the two UL signals exceeds the CP length of UL SCS for data. </w:t>
            </w:r>
          </w:p>
        </w:tc>
      </w:tr>
    </w:tbl>
    <w:p>
      <w:pPr>
        <w:pStyle w:val="4"/>
        <w:numPr>
          <w:ilvl w:val="0"/>
          <w:numId w:val="0"/>
        </w:numPr>
        <w:ind w:leftChars="0"/>
        <w:jc w:val="both"/>
        <w:rPr>
          <w:rFonts w:hint="eastAsia" w:eastAsia="宋体"/>
          <w:lang w:val="en-US" w:eastAsia="zh-CN"/>
        </w:rPr>
      </w:pPr>
      <w:r>
        <w:rPr>
          <w:rFonts w:hint="eastAsia" w:eastAsia="宋体"/>
          <w:lang w:val="en-US" w:eastAsia="zh-CN"/>
        </w:rPr>
        <w:t>In our opinion, the transient period is try to define the switching period between Tx ON/OFF, it seems that it is not related with MRTD at all. While regarding to MTTD, since referring to two Tx transmission, so it seems that the transient period would impact the MTTD. But from the other side, UE performs the switching between two UL transmissions associated with 2 different TAs more like different UL timing adjustments. For the UL timing adjustment definition, no need to consider the transient period. So similar logic can be reused, here referring to the requirement of MTTD, no need to consider the transient period between two UL signals.</w:t>
      </w:r>
    </w:p>
    <w:p>
      <w:pPr>
        <w:pStyle w:val="4"/>
        <w:numPr>
          <w:ilvl w:val="0"/>
          <w:numId w:val="0"/>
        </w:numPr>
        <w:ind w:leftChars="0"/>
        <w:jc w:val="both"/>
        <w:rPr>
          <w:rFonts w:hint="default" w:eastAsia="宋体"/>
          <w:lang w:val="en-US" w:eastAsia="zh-CN"/>
        </w:rPr>
      </w:pPr>
      <w:r>
        <w:rPr>
          <w:rFonts w:hint="eastAsia" w:eastAsia="宋体" w:cs="Times New Roman"/>
          <w:b/>
          <w:bCs/>
          <w:color w:val="auto"/>
          <w:sz w:val="20"/>
          <w:szCs w:val="20"/>
          <w:highlight w:val="none"/>
          <w:lang w:val="en-US" w:eastAsia="zh-CN" w:bidi="ar-SA"/>
        </w:rPr>
        <w:t>Proposal 4: For both requirements of MRTD and MTTD, no need to consider the transient period between two UL signals.</w:t>
      </w:r>
    </w:p>
    <w:p>
      <w:pPr>
        <w:pStyle w:val="4"/>
        <w:numPr>
          <w:ilvl w:val="0"/>
          <w:numId w:val="0"/>
        </w:numPr>
        <w:jc w:val="both"/>
        <w:rPr>
          <w:rFonts w:hint="eastAsia" w:eastAsia="宋体"/>
          <w:b/>
          <w:bCs/>
          <w:color w:val="auto"/>
          <w:sz w:val="20"/>
          <w:szCs w:val="20"/>
          <w:highlight w:val="none"/>
          <w:u w:val="single"/>
          <w:lang w:val="en-US" w:eastAsia="zh-CN"/>
        </w:rPr>
      </w:pPr>
      <w:r>
        <w:rPr>
          <w:rFonts w:hint="eastAsia" w:eastAsia="宋体"/>
          <w:b/>
          <w:bCs/>
          <w:color w:val="auto"/>
          <w:sz w:val="20"/>
          <w:szCs w:val="20"/>
          <w:highlight w:val="none"/>
          <w:u w:val="single"/>
          <w:lang w:val="en-US" w:eastAsia="zh-CN"/>
        </w:rPr>
        <w:t>Whether to study on TAG management for multi-TRP with 2 TAs</w:t>
      </w:r>
    </w:p>
    <w:p>
      <w:pPr>
        <w:pStyle w:val="4"/>
        <w:numPr>
          <w:ilvl w:val="0"/>
          <w:numId w:val="0"/>
        </w:numPr>
        <w:ind w:leftChars="0"/>
        <w:jc w:val="both"/>
        <w:rPr>
          <w:rFonts w:hint="eastAsia" w:eastAsia="宋体"/>
          <w:lang w:val="en-US" w:eastAsia="zh-CN"/>
        </w:rPr>
      </w:pPr>
      <w:r>
        <w:rPr>
          <w:rFonts w:hint="eastAsia" w:eastAsia="宋体"/>
          <w:lang w:val="en-US" w:eastAsia="zh-CN"/>
        </w:rPr>
        <w:t>During last meeting, some company proposed that the TAG management for 2TAs should be considered, we believe it makes sense. In fact there are two types of UE: 1）support RTD &gt; CP; 2）not support RTD &gt; CP. Such two types of UEs are both possible under the 2 TAGs mTRP case. For the UE supporting RTD &gt;CP, the UE can always work. While for the UE not supporting RTD &gt;CP, since the actual RTD can change through the UE movement or rotation, so the actual RTD can less than or larger than CP. If the actual RTD is larger than CP(i.e. a single FFT is assumed), such UE can not work under the assumption of 2 TAGs. If not introducing any UE reporting mechanism, the NW is unknown of the actual RTD at UE side, then when the UE performance would be degraded since of actual RTD &gt;CP for the UE not support RTD &gt;CP, the NW is also unknown. So we need to discuss the TAG management for the UE not supporting RTD &gt;CP under the m-TRP with 2 TAs.</w:t>
      </w:r>
    </w:p>
    <w:p>
      <w:pPr>
        <w:pStyle w:val="4"/>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It is necessary to discuss the TAG management for the UE not supporting RTD &gt;CP under the m-TRP with 2 TAs.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Timing issues for UL multi-DCI multi-TRP with two TAs</w:t>
      </w:r>
      <w:r>
        <w:rPr>
          <w:rFonts w:eastAsia="宋体"/>
          <w:bCs/>
          <w:color w:val="auto"/>
          <w:sz w:val="20"/>
          <w:szCs w:val="20"/>
          <w:lang w:val="en-GB" w:eastAsia="zh-CN"/>
        </w:rPr>
        <w:t>:</w:t>
      </w:r>
    </w:p>
    <w:p>
      <w:pPr>
        <w:pStyle w:val="4"/>
        <w:numPr>
          <w:ilvl w:val="0"/>
          <w:numId w:val="0"/>
        </w:numPr>
        <w:jc w:val="both"/>
        <w:rPr>
          <w:rFonts w:hint="default" w:ascii="Times New Roman" w:hAnsi="Times New Roman" w:eastAsia="宋体" w:cs="Times New Roman"/>
          <w:sz w:val="20"/>
          <w:szCs w:val="20"/>
          <w:lang w:val="en-US" w:eastAsia="zh-CN"/>
        </w:rPr>
      </w:pPr>
      <w:r>
        <w:rPr>
          <w:rFonts w:hint="eastAsia" w:eastAsia="宋体" w:cs="Times New Roman"/>
          <w:b/>
          <w:bCs/>
          <w:color w:val="auto"/>
          <w:sz w:val="20"/>
          <w:szCs w:val="20"/>
          <w:highlight w:val="none"/>
          <w:lang w:val="en-US" w:eastAsia="zh-CN" w:bidi="ar-SA"/>
        </w:rPr>
        <w:t>Observation 1: MTTD is mainly defined by MRTD and UE transmission timing margin. Such margin includes three components: Te, TA adjustment accuracy and TA resolution error. Based on the spec, the sum of such three components is: 1.6 us for FR1 and 0.5 us for FR2.</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1: No matter whether the UE is capable of RTD &gt; CP or not, the difference between MRTD and MTTD should be aligned, i.e. M1 is 1.6us for FR1 and M2 is 0.5us for FR2. </w:t>
      </w:r>
    </w:p>
    <w:p>
      <w:pPr>
        <w:pStyle w:val="4"/>
        <w:rPr>
          <w:rFonts w:hint="eastAsia" w:eastAsia="宋体"/>
          <w:b/>
          <w:bCs/>
          <w:color w:val="auto"/>
          <w:sz w:val="20"/>
          <w:szCs w:val="20"/>
          <w:highlight w:val="none"/>
          <w:u w:val="single"/>
          <w:lang w:val="en-US" w:eastAsia="zh-CN"/>
        </w:rPr>
      </w:pPr>
      <w:r>
        <w:rPr>
          <w:rFonts w:hint="eastAsia" w:eastAsia="宋体" w:cs="Times New Roman"/>
          <w:b/>
          <w:bCs/>
          <w:color w:val="auto"/>
          <w:sz w:val="20"/>
          <w:szCs w:val="20"/>
          <w:highlight w:val="none"/>
          <w:lang w:val="en-US" w:eastAsia="zh-CN" w:bidi="ar-SA"/>
        </w:rPr>
        <w:t>Proposal 2: Regarding to the reference timing of UL timing, a direct solution is to define independent reference timing for each UL Tx timing respectively. While if UE can identify the offset between the two reference timing, applying a single reference timing for the two UL Tx is feasible.</w:t>
      </w:r>
    </w:p>
    <w:p>
      <w:pPr>
        <w:pStyle w:val="4"/>
        <w:numPr>
          <w:ilvl w:val="0"/>
          <w:numId w:val="0"/>
        </w:numPr>
        <w:ind w:leftChars="0"/>
        <w:jc w:val="both"/>
        <w:rPr>
          <w:rFonts w:hint="default" w:eastAsia="宋体"/>
          <w:lang w:val="en-US" w:eastAsia="zh-CN"/>
        </w:rPr>
      </w:pPr>
      <w:bookmarkStart w:id="2" w:name="_GoBack"/>
      <w:bookmarkEnd w:id="2"/>
      <w:r>
        <w:rPr>
          <w:rFonts w:hint="eastAsia" w:eastAsia="宋体" w:cs="Times New Roman"/>
          <w:b/>
          <w:bCs/>
          <w:color w:val="auto"/>
          <w:sz w:val="20"/>
          <w:szCs w:val="20"/>
          <w:highlight w:val="none"/>
          <w:lang w:val="en-US" w:eastAsia="zh-CN" w:bidi="ar-SA"/>
        </w:rPr>
        <w:t>Proposal 3: Whether two partial overlapped UL transmissions with two TAs are allowed, which depends on the PA architecture.</w:t>
      </w:r>
    </w:p>
    <w:p>
      <w:pPr>
        <w:pStyle w:val="4"/>
        <w:numPr>
          <w:ilvl w:val="0"/>
          <w:numId w:val="0"/>
        </w:numPr>
        <w:ind w:leftChars="0"/>
        <w:jc w:val="both"/>
        <w:rPr>
          <w:rFonts w:hint="default" w:eastAsia="宋体"/>
          <w:lang w:val="en-US" w:eastAsia="zh-CN"/>
        </w:rPr>
      </w:pPr>
      <w:r>
        <w:rPr>
          <w:rFonts w:hint="eastAsia" w:eastAsia="宋体" w:cs="Times New Roman"/>
          <w:b/>
          <w:bCs/>
          <w:color w:val="auto"/>
          <w:sz w:val="20"/>
          <w:szCs w:val="20"/>
          <w:highlight w:val="none"/>
          <w:lang w:val="en-US" w:eastAsia="zh-CN" w:bidi="ar-SA"/>
        </w:rPr>
        <w:t>Proposal 4: For both requirements of MRTD and MTTD, no need to consider the transient period between two UL signals.</w:t>
      </w:r>
    </w:p>
    <w:p>
      <w:pPr>
        <w:pStyle w:val="4"/>
        <w:numPr>
          <w:ilvl w:val="0"/>
          <w:numId w:val="0"/>
        </w:numPr>
        <w:ind w:leftChars="0"/>
        <w:jc w:val="both"/>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5: It is necessary to discuss the TAG management for the UE not supporting RTD &gt;CP under the m-TRP with 2 TAs.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10"/>
        </w:numPr>
        <w:ind w:left="0" w:leftChars="0" w:firstLine="0" w:firstLineChars="0"/>
        <w:rPr>
          <w:rFonts w:hint="eastAsia"/>
          <w:lang w:val="en-US" w:eastAsia="zh-CN"/>
        </w:rPr>
      </w:pPr>
      <w:r>
        <w:rPr>
          <w:rFonts w:hint="eastAsia"/>
          <w:lang w:val="en-US" w:eastAsia="zh-CN"/>
        </w:rPr>
        <w:t>R4-2211512</w:t>
      </w:r>
      <w:r>
        <w:rPr>
          <w:rFonts w:hint="eastAsia"/>
          <w:lang w:val="en-US" w:eastAsia="zh-CN"/>
        </w:rPr>
        <w:tab/>
      </w:r>
      <w:r>
        <w:rPr>
          <w:rFonts w:hint="eastAsia"/>
          <w:lang w:val="en-US" w:eastAsia="zh-CN"/>
        </w:rPr>
        <w:t>LS on maximum uplink timing difference for Multi-DCI Multi-TRP with two TAs, Ericsson.  RAN4 #104e</w:t>
      </w:r>
    </w:p>
    <w:p>
      <w:pPr>
        <w:pStyle w:val="9"/>
        <w:numPr>
          <w:ilvl w:val="0"/>
          <w:numId w:val="10"/>
        </w:numPr>
        <w:ind w:left="0" w:leftChars="0" w:firstLine="0" w:firstLineChars="0"/>
        <w:rPr>
          <w:rFonts w:hint="eastAsia"/>
          <w:lang w:val="en-US" w:eastAsia="zh-CN"/>
        </w:rPr>
      </w:pPr>
      <w:r>
        <w:rPr>
          <w:rFonts w:hint="eastAsia"/>
          <w:lang w:val="en-US" w:eastAsia="zh-CN"/>
        </w:rPr>
        <w:t>R4-2303258 WF on R18 NR MIMO RRM requirements, Samsung. RAN4#106</w:t>
      </w:r>
    </w:p>
    <w:p>
      <w:pPr>
        <w:pStyle w:val="9"/>
        <w:numPr>
          <w:ilvl w:val="0"/>
          <w:numId w:val="10"/>
        </w:numPr>
        <w:ind w:left="0" w:leftChars="0" w:firstLine="0" w:firstLineChars="0"/>
        <w:rPr>
          <w:rFonts w:hint="eastAsia"/>
          <w:lang w:val="en-US" w:eastAsia="zh-CN"/>
        </w:rPr>
      </w:pPr>
      <w:r>
        <w:rPr>
          <w:rFonts w:hint="eastAsia"/>
          <w:lang w:val="en-US" w:eastAsia="zh-CN"/>
        </w:rPr>
        <w:t>TS 38.133-h80.</w:t>
      </w:r>
    </w:p>
    <w:p>
      <w:pPr>
        <w:pStyle w:val="9"/>
        <w:numPr>
          <w:ilvl w:val="0"/>
          <w:numId w:val="10"/>
        </w:numPr>
        <w:ind w:left="0" w:leftChars="0" w:firstLine="0" w:firstLineChars="0"/>
        <w:rPr>
          <w:rFonts w:hint="eastAsia"/>
          <w:lang w:val="en-US" w:eastAsia="zh-CN"/>
        </w:rPr>
      </w:pPr>
      <w:r>
        <w:rPr>
          <w:rFonts w:hint="eastAsia"/>
          <w:lang w:val="en-US" w:eastAsia="zh-CN"/>
        </w:rPr>
        <w:t>TS 38.213</w:t>
      </w: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E90B44C4"/>
    <w:multiLevelType w:val="singleLevel"/>
    <w:tmpl w:val="E90B44C4"/>
    <w:lvl w:ilvl="0" w:tentative="0">
      <w:start w:val="1"/>
      <w:numFmt w:val="bullet"/>
      <w:lvlText w:val=""/>
      <w:lvlJc w:val="left"/>
      <w:pPr>
        <w:tabs>
          <w:tab w:val="left" w:pos="-420"/>
        </w:tabs>
        <w:ind w:left="0" w:hanging="420"/>
      </w:pPr>
      <w:rPr>
        <w:rFonts w:hint="default" w:ascii="Wingdings" w:hAnsi="Wingdings"/>
      </w:rPr>
    </w:lvl>
  </w:abstractNum>
  <w:abstractNum w:abstractNumId="2">
    <w:nsid w:val="ED5E046B"/>
    <w:multiLevelType w:val="singleLevel"/>
    <w:tmpl w:val="ED5E046B"/>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2909E59"/>
    <w:multiLevelType w:val="multilevel"/>
    <w:tmpl w:val="52909E5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5C3EA337"/>
    <w:multiLevelType w:val="singleLevel"/>
    <w:tmpl w:val="5C3EA337"/>
    <w:lvl w:ilvl="0" w:tentative="0">
      <w:start w:val="1"/>
      <w:numFmt w:val="bullet"/>
      <w:lvlText w:val=""/>
      <w:lvlJc w:val="left"/>
      <w:pPr>
        <w:tabs>
          <w:tab w:val="left" w:pos="420"/>
        </w:tabs>
        <w:ind w:left="840" w:hanging="420"/>
      </w:pPr>
      <w:rPr>
        <w:rFonts w:hint="default" w:ascii="Wingdings" w:hAnsi="Wingdings"/>
      </w:rPr>
    </w:lvl>
  </w:abstractNum>
  <w:abstractNum w:abstractNumId="8">
    <w:nsid w:val="6801DDCF"/>
    <w:multiLevelType w:val="singleLevel"/>
    <w:tmpl w:val="6801DDCF"/>
    <w:lvl w:ilvl="0" w:tentative="0">
      <w:start w:val="1"/>
      <w:numFmt w:val="bullet"/>
      <w:lvlText w:val=""/>
      <w:lvlJc w:val="left"/>
      <w:pPr>
        <w:tabs>
          <w:tab w:val="left" w:pos="420"/>
        </w:tabs>
        <w:ind w:left="840" w:hanging="42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4"/>
  </w:num>
  <w:num w:numId="3">
    <w:abstractNumId w:val="3"/>
  </w:num>
  <w:num w:numId="4">
    <w:abstractNumId w:val="7"/>
  </w:num>
  <w:num w:numId="5">
    <w:abstractNumId w:val="6"/>
  </w:num>
  <w:num w:numId="6">
    <w:abstractNumId w:val="2"/>
  </w:num>
  <w:num w:numId="7">
    <w:abstractNumId w:val="1"/>
  </w:num>
  <w:num w:numId="8">
    <w:abstractNumId w:val="5"/>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5317828"/>
    <w:rsid w:val="05477E90"/>
    <w:rsid w:val="05BB5AB9"/>
    <w:rsid w:val="05C42923"/>
    <w:rsid w:val="06226EA6"/>
    <w:rsid w:val="06963BA6"/>
    <w:rsid w:val="06FC2F86"/>
    <w:rsid w:val="07CD3CDD"/>
    <w:rsid w:val="083E6EA0"/>
    <w:rsid w:val="0855671D"/>
    <w:rsid w:val="089009EB"/>
    <w:rsid w:val="08EA2407"/>
    <w:rsid w:val="09716BCA"/>
    <w:rsid w:val="09D64B23"/>
    <w:rsid w:val="09E644B8"/>
    <w:rsid w:val="0A867423"/>
    <w:rsid w:val="0AB155C2"/>
    <w:rsid w:val="0B12013A"/>
    <w:rsid w:val="0B3D3C2F"/>
    <w:rsid w:val="0BB0429A"/>
    <w:rsid w:val="0BDD6CEC"/>
    <w:rsid w:val="0BFF5FC6"/>
    <w:rsid w:val="0C394019"/>
    <w:rsid w:val="0CD05342"/>
    <w:rsid w:val="0CDB4E5B"/>
    <w:rsid w:val="0CE21AB1"/>
    <w:rsid w:val="0D2F7EEA"/>
    <w:rsid w:val="0DEE745F"/>
    <w:rsid w:val="0F320DDE"/>
    <w:rsid w:val="0FAD3D1E"/>
    <w:rsid w:val="0FF23B33"/>
    <w:rsid w:val="102263EF"/>
    <w:rsid w:val="10997F43"/>
    <w:rsid w:val="10DE7BAE"/>
    <w:rsid w:val="120774A3"/>
    <w:rsid w:val="12112440"/>
    <w:rsid w:val="12887761"/>
    <w:rsid w:val="12C80206"/>
    <w:rsid w:val="14006D19"/>
    <w:rsid w:val="145F7CF8"/>
    <w:rsid w:val="1481754F"/>
    <w:rsid w:val="148F32AB"/>
    <w:rsid w:val="148F5721"/>
    <w:rsid w:val="14AC57CD"/>
    <w:rsid w:val="15ED3E9B"/>
    <w:rsid w:val="164514BE"/>
    <w:rsid w:val="166B2EA9"/>
    <w:rsid w:val="16D4089E"/>
    <w:rsid w:val="16E73296"/>
    <w:rsid w:val="16FB7CA4"/>
    <w:rsid w:val="170F06AA"/>
    <w:rsid w:val="17225508"/>
    <w:rsid w:val="17B07FBC"/>
    <w:rsid w:val="180A6E32"/>
    <w:rsid w:val="183F2CD2"/>
    <w:rsid w:val="1856323E"/>
    <w:rsid w:val="18AF55E3"/>
    <w:rsid w:val="18B077E2"/>
    <w:rsid w:val="18B1519A"/>
    <w:rsid w:val="18CD0507"/>
    <w:rsid w:val="18F36BA5"/>
    <w:rsid w:val="195D7D48"/>
    <w:rsid w:val="1AD01A1B"/>
    <w:rsid w:val="1B4D0AE4"/>
    <w:rsid w:val="1B61065A"/>
    <w:rsid w:val="1BBF3927"/>
    <w:rsid w:val="1C177B08"/>
    <w:rsid w:val="1C4B7D4A"/>
    <w:rsid w:val="1C9001C6"/>
    <w:rsid w:val="1C900A6F"/>
    <w:rsid w:val="1CBA2101"/>
    <w:rsid w:val="1D0573D7"/>
    <w:rsid w:val="1D153DC4"/>
    <w:rsid w:val="1D223E0B"/>
    <w:rsid w:val="1D317C9F"/>
    <w:rsid w:val="1E132F88"/>
    <w:rsid w:val="1E2867E9"/>
    <w:rsid w:val="1E853F6F"/>
    <w:rsid w:val="1E9C7BCC"/>
    <w:rsid w:val="1ECC1E3C"/>
    <w:rsid w:val="1EED3918"/>
    <w:rsid w:val="208364FC"/>
    <w:rsid w:val="208953F9"/>
    <w:rsid w:val="2097232D"/>
    <w:rsid w:val="20F84E27"/>
    <w:rsid w:val="21014C39"/>
    <w:rsid w:val="21244EB1"/>
    <w:rsid w:val="213964D8"/>
    <w:rsid w:val="21595D04"/>
    <w:rsid w:val="219342A7"/>
    <w:rsid w:val="21F13629"/>
    <w:rsid w:val="223236B6"/>
    <w:rsid w:val="2255462C"/>
    <w:rsid w:val="2305377E"/>
    <w:rsid w:val="23901822"/>
    <w:rsid w:val="24122135"/>
    <w:rsid w:val="246560B1"/>
    <w:rsid w:val="24D4257E"/>
    <w:rsid w:val="25457F06"/>
    <w:rsid w:val="2562297A"/>
    <w:rsid w:val="2572202B"/>
    <w:rsid w:val="2605683C"/>
    <w:rsid w:val="26BB1419"/>
    <w:rsid w:val="26D54669"/>
    <w:rsid w:val="27107511"/>
    <w:rsid w:val="2781195F"/>
    <w:rsid w:val="27B748AA"/>
    <w:rsid w:val="27CB4CB9"/>
    <w:rsid w:val="27CF1700"/>
    <w:rsid w:val="281C2F58"/>
    <w:rsid w:val="29642C4B"/>
    <w:rsid w:val="2A34628C"/>
    <w:rsid w:val="2A724D05"/>
    <w:rsid w:val="2A7E505C"/>
    <w:rsid w:val="2AC85686"/>
    <w:rsid w:val="2AD04B5F"/>
    <w:rsid w:val="2BC05B2C"/>
    <w:rsid w:val="2BD617C5"/>
    <w:rsid w:val="2C112837"/>
    <w:rsid w:val="2C9B1252"/>
    <w:rsid w:val="2C9C2786"/>
    <w:rsid w:val="2CC13667"/>
    <w:rsid w:val="2E014790"/>
    <w:rsid w:val="2EE77680"/>
    <w:rsid w:val="2F2F0FC8"/>
    <w:rsid w:val="2FA70460"/>
    <w:rsid w:val="301C6BB6"/>
    <w:rsid w:val="30C9008F"/>
    <w:rsid w:val="319708F2"/>
    <w:rsid w:val="31A8260E"/>
    <w:rsid w:val="31B14C9E"/>
    <w:rsid w:val="332B149D"/>
    <w:rsid w:val="335E31CF"/>
    <w:rsid w:val="33C522D7"/>
    <w:rsid w:val="344C156B"/>
    <w:rsid w:val="34807672"/>
    <w:rsid w:val="35B06C6A"/>
    <w:rsid w:val="366149EB"/>
    <w:rsid w:val="36941AA2"/>
    <w:rsid w:val="36D37423"/>
    <w:rsid w:val="379D23F9"/>
    <w:rsid w:val="3A185287"/>
    <w:rsid w:val="3A1F46B8"/>
    <w:rsid w:val="3A692CD0"/>
    <w:rsid w:val="3A7F53CD"/>
    <w:rsid w:val="3AAE4AA7"/>
    <w:rsid w:val="3AF23299"/>
    <w:rsid w:val="3B270929"/>
    <w:rsid w:val="3B3D5571"/>
    <w:rsid w:val="3B673620"/>
    <w:rsid w:val="3B9A1F29"/>
    <w:rsid w:val="3C5863E9"/>
    <w:rsid w:val="3C6E311D"/>
    <w:rsid w:val="3CE4646B"/>
    <w:rsid w:val="3CFC1228"/>
    <w:rsid w:val="3D5E7AA8"/>
    <w:rsid w:val="3D6F2596"/>
    <w:rsid w:val="3D946587"/>
    <w:rsid w:val="405F175E"/>
    <w:rsid w:val="40C765F3"/>
    <w:rsid w:val="42F869D2"/>
    <w:rsid w:val="434E1CAE"/>
    <w:rsid w:val="43553536"/>
    <w:rsid w:val="43BE423F"/>
    <w:rsid w:val="44005E88"/>
    <w:rsid w:val="44972678"/>
    <w:rsid w:val="451632B9"/>
    <w:rsid w:val="45906394"/>
    <w:rsid w:val="45F60A50"/>
    <w:rsid w:val="46142D0C"/>
    <w:rsid w:val="46263A53"/>
    <w:rsid w:val="46970A81"/>
    <w:rsid w:val="46B036BF"/>
    <w:rsid w:val="46CC320F"/>
    <w:rsid w:val="46F633A5"/>
    <w:rsid w:val="47282363"/>
    <w:rsid w:val="47724D80"/>
    <w:rsid w:val="47810C98"/>
    <w:rsid w:val="47924F0A"/>
    <w:rsid w:val="480571D7"/>
    <w:rsid w:val="48F407FD"/>
    <w:rsid w:val="49DC4EAC"/>
    <w:rsid w:val="49E55BC5"/>
    <w:rsid w:val="4A5D0BB5"/>
    <w:rsid w:val="4B600E77"/>
    <w:rsid w:val="4B8F684D"/>
    <w:rsid w:val="4BF02011"/>
    <w:rsid w:val="4C1C63D6"/>
    <w:rsid w:val="4C2D52ED"/>
    <w:rsid w:val="4C864A35"/>
    <w:rsid w:val="4D207A05"/>
    <w:rsid w:val="4D53283E"/>
    <w:rsid w:val="4D9D5EF9"/>
    <w:rsid w:val="4E015C76"/>
    <w:rsid w:val="4E310026"/>
    <w:rsid w:val="4E4A2325"/>
    <w:rsid w:val="4ED42F55"/>
    <w:rsid w:val="4FC7362A"/>
    <w:rsid w:val="501A6C55"/>
    <w:rsid w:val="50FF2EDD"/>
    <w:rsid w:val="515B1740"/>
    <w:rsid w:val="51A3627A"/>
    <w:rsid w:val="51B14BED"/>
    <w:rsid w:val="51E51984"/>
    <w:rsid w:val="52526454"/>
    <w:rsid w:val="525C1CEF"/>
    <w:rsid w:val="528B5767"/>
    <w:rsid w:val="52D33625"/>
    <w:rsid w:val="52D962FB"/>
    <w:rsid w:val="533517C8"/>
    <w:rsid w:val="53A3105E"/>
    <w:rsid w:val="53C64B93"/>
    <w:rsid w:val="548A6C60"/>
    <w:rsid w:val="55B1164D"/>
    <w:rsid w:val="55B4735E"/>
    <w:rsid w:val="55BB221D"/>
    <w:rsid w:val="56371459"/>
    <w:rsid w:val="56484633"/>
    <w:rsid w:val="57FF4799"/>
    <w:rsid w:val="581F2185"/>
    <w:rsid w:val="58493723"/>
    <w:rsid w:val="58D0053D"/>
    <w:rsid w:val="594444F3"/>
    <w:rsid w:val="595A2A3C"/>
    <w:rsid w:val="598C40A0"/>
    <w:rsid w:val="598E25F2"/>
    <w:rsid w:val="59DA647E"/>
    <w:rsid w:val="5A4D471F"/>
    <w:rsid w:val="5A556E1A"/>
    <w:rsid w:val="5B1159D1"/>
    <w:rsid w:val="5BF92FF2"/>
    <w:rsid w:val="5C471E62"/>
    <w:rsid w:val="5C695A33"/>
    <w:rsid w:val="5C924E81"/>
    <w:rsid w:val="5D404A5F"/>
    <w:rsid w:val="5DE12D83"/>
    <w:rsid w:val="5DEA003F"/>
    <w:rsid w:val="5E2864D0"/>
    <w:rsid w:val="5E2A51D3"/>
    <w:rsid w:val="5E494511"/>
    <w:rsid w:val="5EB44FC0"/>
    <w:rsid w:val="5FBA395F"/>
    <w:rsid w:val="60094E5C"/>
    <w:rsid w:val="606F38F4"/>
    <w:rsid w:val="60CB1A8B"/>
    <w:rsid w:val="60EC2CBA"/>
    <w:rsid w:val="61CC2D28"/>
    <w:rsid w:val="635902CD"/>
    <w:rsid w:val="63DA1C8E"/>
    <w:rsid w:val="64706BBE"/>
    <w:rsid w:val="64F03EAD"/>
    <w:rsid w:val="64F2095B"/>
    <w:rsid w:val="65A16A49"/>
    <w:rsid w:val="67A858DB"/>
    <w:rsid w:val="67FE4166"/>
    <w:rsid w:val="68C401C3"/>
    <w:rsid w:val="69A833BD"/>
    <w:rsid w:val="69EF6835"/>
    <w:rsid w:val="6A781E90"/>
    <w:rsid w:val="6B3D100B"/>
    <w:rsid w:val="6BAB7FC7"/>
    <w:rsid w:val="6D301A35"/>
    <w:rsid w:val="6D566F0F"/>
    <w:rsid w:val="6D836F72"/>
    <w:rsid w:val="6DDE3DAF"/>
    <w:rsid w:val="6DE731FD"/>
    <w:rsid w:val="6E3241BE"/>
    <w:rsid w:val="6E774C75"/>
    <w:rsid w:val="6EB97A9D"/>
    <w:rsid w:val="6EF10A90"/>
    <w:rsid w:val="6EFC7DED"/>
    <w:rsid w:val="6F2A7FBF"/>
    <w:rsid w:val="6FFF1868"/>
    <w:rsid w:val="7007017A"/>
    <w:rsid w:val="71254A4B"/>
    <w:rsid w:val="715F4C2D"/>
    <w:rsid w:val="71920E5A"/>
    <w:rsid w:val="71B31077"/>
    <w:rsid w:val="722F78FB"/>
    <w:rsid w:val="723C2F8E"/>
    <w:rsid w:val="723D67C5"/>
    <w:rsid w:val="726A5F44"/>
    <w:rsid w:val="72BF60CA"/>
    <w:rsid w:val="72F41282"/>
    <w:rsid w:val="733D0D32"/>
    <w:rsid w:val="73B76769"/>
    <w:rsid w:val="73D411F1"/>
    <w:rsid w:val="74A356B2"/>
    <w:rsid w:val="74E16B09"/>
    <w:rsid w:val="753811DE"/>
    <w:rsid w:val="75626EA8"/>
    <w:rsid w:val="75BE67D4"/>
    <w:rsid w:val="75C2004C"/>
    <w:rsid w:val="75C759C1"/>
    <w:rsid w:val="76281B03"/>
    <w:rsid w:val="762D64F3"/>
    <w:rsid w:val="762E20AD"/>
    <w:rsid w:val="767E7EFF"/>
    <w:rsid w:val="775B4604"/>
    <w:rsid w:val="77C067C3"/>
    <w:rsid w:val="78074939"/>
    <w:rsid w:val="78476DBE"/>
    <w:rsid w:val="787D6B02"/>
    <w:rsid w:val="78911E31"/>
    <w:rsid w:val="78F9732D"/>
    <w:rsid w:val="7922350F"/>
    <w:rsid w:val="792B5470"/>
    <w:rsid w:val="796B3C3F"/>
    <w:rsid w:val="79A66350"/>
    <w:rsid w:val="7A9367CB"/>
    <w:rsid w:val="7AF22571"/>
    <w:rsid w:val="7B0720CF"/>
    <w:rsid w:val="7B4C0E47"/>
    <w:rsid w:val="7B69224B"/>
    <w:rsid w:val="7BE80F25"/>
    <w:rsid w:val="7C1C35A7"/>
    <w:rsid w:val="7C45431D"/>
    <w:rsid w:val="7CEF4E07"/>
    <w:rsid w:val="7D25352B"/>
    <w:rsid w:val="7D3219D5"/>
    <w:rsid w:val="7DDD0501"/>
    <w:rsid w:val="7DE51372"/>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4"/>
    <w:link w:val="27"/>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page number"/>
    <w:basedOn w:val="18"/>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8">
    <w:name w:val="apple-converted-space"/>
    <w:basedOn w:val="1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2023-04-10T13:12:04Z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